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9E" w:rsidRDefault="00576E9E" w:rsidP="00576E9E">
      <w:pPr>
        <w:spacing w:line="360" w:lineRule="auto"/>
        <w:jc w:val="center"/>
        <w:rPr>
          <w:b/>
          <w:bCs/>
          <w:color w:val="FF0000"/>
          <w:spacing w:val="20"/>
          <w:w w:val="58"/>
          <w:kern w:val="114"/>
          <w:sz w:val="84"/>
          <w:szCs w:val="84"/>
        </w:rPr>
      </w:pPr>
      <w:r>
        <w:rPr>
          <w:rFonts w:hint="eastAsia"/>
          <w:b/>
          <w:bCs/>
          <w:color w:val="FF0000"/>
          <w:spacing w:val="20"/>
          <w:w w:val="58"/>
          <w:kern w:val="114"/>
          <w:sz w:val="84"/>
          <w:szCs w:val="84"/>
        </w:rPr>
        <w:t>中国银河证券股份有限公司</w:t>
      </w:r>
    </w:p>
    <w:p w:rsidR="00576E9E" w:rsidRPr="00576E9E" w:rsidRDefault="00576E9E" w:rsidP="00576E9E">
      <w:pPr>
        <w:pStyle w:val="Default"/>
        <w:spacing w:line="360" w:lineRule="auto"/>
        <w:rPr>
          <w:rFonts w:ascii="仿宋_GB2312" w:eastAsia="仿宋_GB2312"/>
          <w:b/>
          <w:sz w:val="22"/>
        </w:rPr>
      </w:pPr>
      <w:r>
        <w:rPr>
          <w:rFonts w:ascii="仿宋_GB2312" w:eastAsia="仿宋_GB2312"/>
          <w:b/>
          <w:noProof/>
          <w:sz w:val="32"/>
          <w:szCs w:val="36"/>
        </w:rPr>
        <mc:AlternateContent>
          <mc:Choice Requires="wps">
            <w:drawing>
              <wp:anchor distT="0" distB="0" distL="114300" distR="114300" simplePos="0" relativeHeight="251659264" behindDoc="0" locked="0" layoutInCell="1" allowOverlap="1" wp14:anchorId="52D7E008" wp14:editId="3EBA7B22">
                <wp:simplePos x="0" y="0"/>
                <wp:positionH relativeFrom="column">
                  <wp:posOffset>0</wp:posOffset>
                </wp:positionH>
                <wp:positionV relativeFrom="paragraph">
                  <wp:posOffset>0</wp:posOffset>
                </wp:positionV>
                <wp:extent cx="5600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w14:anchorId="1A0A4887" id="直接连接符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" strokecolor="red"/>
            </w:pict>
          </mc:Fallback>
        </mc:AlternateContent>
      </w:r>
    </w:p>
    <w:p w:rsidR="008C22BC" w:rsidRDefault="000A6FB8" w:rsidP="000A6FB8">
      <w:pPr>
        <w:jc w:val="center"/>
        <w:rPr>
          <w:rFonts w:ascii="宋体" w:eastAsia="宋体" w:hAnsi="宋体"/>
          <w:b/>
          <w:sz w:val="30"/>
          <w:szCs w:val="30"/>
        </w:rPr>
      </w:pPr>
      <w:r w:rsidRPr="00666055">
        <w:rPr>
          <w:rFonts w:ascii="宋体" w:eastAsia="宋体" w:hAnsi="宋体" w:hint="eastAsia"/>
          <w:b/>
          <w:sz w:val="28"/>
          <w:szCs w:val="28"/>
        </w:rPr>
        <w:t>中国银河证券</w:t>
      </w:r>
      <w:r w:rsidRPr="00666055">
        <w:rPr>
          <w:rFonts w:ascii="宋体" w:eastAsia="宋体" w:hAnsi="宋体" w:hint="eastAsia"/>
          <w:b/>
          <w:sz w:val="30"/>
          <w:szCs w:val="30"/>
        </w:rPr>
        <w:t>公募基金产品适当性风险等级划分方法与说明</w:t>
      </w:r>
    </w:p>
    <w:p w:rsidR="00666055" w:rsidRPr="008C22BC" w:rsidRDefault="000A6FB8" w:rsidP="008C22BC">
      <w:pPr>
        <w:jc w:val="center"/>
        <w:rPr>
          <w:rFonts w:ascii="宋体" w:eastAsia="宋体" w:hAnsi="宋体"/>
          <w:sz w:val="30"/>
          <w:szCs w:val="30"/>
        </w:rPr>
      </w:pPr>
      <w:r w:rsidRPr="00666055">
        <w:rPr>
          <w:rFonts w:ascii="宋体" w:eastAsia="宋体" w:hAnsi="宋体" w:hint="eastAsia"/>
          <w:sz w:val="30"/>
          <w:szCs w:val="30"/>
        </w:rPr>
        <w:t>（2</w:t>
      </w:r>
      <w:r w:rsidRPr="00666055">
        <w:rPr>
          <w:rFonts w:ascii="宋体" w:eastAsia="宋体" w:hAnsi="宋体"/>
          <w:sz w:val="30"/>
          <w:szCs w:val="30"/>
        </w:rPr>
        <w:t>021</w:t>
      </w:r>
      <w:r w:rsidRPr="00666055">
        <w:rPr>
          <w:rFonts w:ascii="宋体" w:eastAsia="宋体" w:hAnsi="宋体" w:hint="eastAsia"/>
          <w:sz w:val="30"/>
          <w:szCs w:val="30"/>
        </w:rPr>
        <w:t>版）</w:t>
      </w:r>
    </w:p>
    <w:p w:rsidR="00870F21" w:rsidRDefault="000A6FB8" w:rsidP="008C22BC">
      <w:pPr>
        <w:jc w:val="center"/>
        <w:rPr>
          <w:rFonts w:ascii="宋体" w:eastAsia="宋体" w:hAnsi="宋体"/>
        </w:rPr>
      </w:pPr>
      <w:r w:rsidRPr="0069472C">
        <w:rPr>
          <w:rFonts w:ascii="宋体" w:eastAsia="宋体" w:hAnsi="宋体" w:hint="eastAsia"/>
        </w:rPr>
        <w:t>中国银河证券基金研究中心</w:t>
      </w:r>
    </w:p>
    <w:p w:rsidR="000A6FB8" w:rsidRPr="00CB6E35" w:rsidRDefault="001D6D1D" w:rsidP="00576E9E">
      <w:pPr>
        <w:jc w:val="center"/>
        <w:rPr>
          <w:rFonts w:ascii="宋体" w:eastAsia="宋体" w:hAnsi="宋体"/>
        </w:rPr>
      </w:pPr>
      <w:r>
        <w:rPr>
          <w:rFonts w:ascii="宋体" w:eastAsia="宋体" w:hAnsi="宋体" w:hint="eastAsia"/>
        </w:rPr>
        <w:t>2</w:t>
      </w:r>
      <w:r>
        <w:rPr>
          <w:rFonts w:ascii="宋体" w:eastAsia="宋体" w:hAnsi="宋体"/>
        </w:rPr>
        <w:t>021</w:t>
      </w:r>
      <w:r>
        <w:rPr>
          <w:rFonts w:ascii="宋体" w:eastAsia="宋体" w:hAnsi="宋体" w:hint="eastAsia"/>
        </w:rPr>
        <w:t>年</w:t>
      </w:r>
      <w:r>
        <w:rPr>
          <w:rFonts w:ascii="宋体" w:eastAsia="宋体" w:hAnsi="宋体"/>
        </w:rPr>
        <w:t>11</w:t>
      </w:r>
      <w:r w:rsidR="00576E9E">
        <w:rPr>
          <w:rFonts w:ascii="宋体" w:eastAsia="宋体" w:hAnsi="宋体" w:hint="eastAsia"/>
        </w:rPr>
        <w:t>月版</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hint="eastAsia"/>
        </w:rPr>
        <w:t>中国银河证券股份有限公司及其基金研究中心作为基金评价机构，根据《证券期货投资者适当性管理办法》（以下简称“《管理办法》”）、《基金募集机构投资者适当性管理实施指引》（试行）（以下简称“《实施指引》”）的相关规定，制定了《中国银河证券公募基金产品适当性风险等级划分方法与说明》，主要分为三个层次</w:t>
      </w:r>
      <w:r w:rsidR="008C22BC">
        <w:rPr>
          <w:rFonts w:ascii="宋体" w:eastAsia="宋体" w:hAnsi="宋体" w:hint="eastAsia"/>
        </w:rPr>
        <w:t>：适当性风险等级一般性规定、基金分类适当性风险等级划分规则、基</w:t>
      </w:r>
      <w:r w:rsidRPr="00381B77">
        <w:rPr>
          <w:rFonts w:ascii="宋体" w:eastAsia="宋体" w:hAnsi="宋体" w:hint="eastAsia"/>
        </w:rPr>
        <w:t>产品适当性风险等级划分规则。</w:t>
      </w:r>
    </w:p>
    <w:p w:rsidR="00381B77" w:rsidRPr="00381B77" w:rsidRDefault="00381B77" w:rsidP="00E452E2">
      <w:pPr>
        <w:spacing w:beforeLines="100" w:before="312"/>
        <w:rPr>
          <w:rFonts w:ascii="宋体" w:eastAsia="宋体" w:hAnsi="宋体"/>
        </w:rPr>
      </w:pPr>
      <w:r w:rsidRPr="00381B77">
        <w:rPr>
          <w:rFonts w:ascii="宋体" w:eastAsia="宋体" w:hAnsi="宋体" w:hint="eastAsia"/>
          <w:b/>
          <w:bCs/>
        </w:rPr>
        <w:t>一、</w:t>
      </w:r>
      <w:r w:rsidRPr="00381B77">
        <w:rPr>
          <w:rFonts w:ascii="宋体" w:eastAsia="宋体" w:hAnsi="宋体"/>
          <w:b/>
          <w:bCs/>
        </w:rPr>
        <w:t>适当性风险等级一般性规定</w:t>
      </w:r>
    </w:p>
    <w:p w:rsidR="000A6FB8" w:rsidRPr="00CB6E35" w:rsidRDefault="00381B77" w:rsidP="00E452E2">
      <w:pPr>
        <w:spacing w:beforeLines="100" w:before="312"/>
        <w:ind w:firstLineChars="200" w:firstLine="420"/>
        <w:rPr>
          <w:rFonts w:ascii="宋体" w:eastAsia="宋体" w:hAnsi="宋体"/>
        </w:rPr>
      </w:pPr>
      <w:r w:rsidRPr="00381B77">
        <w:rPr>
          <w:rFonts w:ascii="宋体" w:eastAsia="宋体" w:hAnsi="宋体" w:hint="eastAsia"/>
        </w:rPr>
        <w:t>中国银河证券基金研究中心将公募基金产品按照风险由低到高顺序，依次划分为：</w:t>
      </w:r>
      <w:r w:rsidRPr="00381B77">
        <w:rPr>
          <w:rFonts w:ascii="宋体" w:eastAsia="宋体" w:hAnsi="宋体"/>
        </w:rPr>
        <w:t>R1、R2、R3、R4、R5五个等级，相应的风险等级名称是：低风险、中低风险、中风险、中高风险、高风险。将上述五个风险等级列为一级科目，根据我国公募基金实际情况在此基础上进一步细分，每个一级科目风险再细分为5个二级科目，以满足公募基金繁多、复杂的基金分类。</w:t>
      </w:r>
    </w:p>
    <w:p w:rsidR="000A6FB8" w:rsidRPr="00CB6E35" w:rsidRDefault="000A6FB8" w:rsidP="00E452E2">
      <w:pPr>
        <w:spacing w:beforeLines="100" w:before="312"/>
        <w:rPr>
          <w:rFonts w:ascii="宋体" w:eastAsia="宋体" w:hAnsi="宋体"/>
          <w:b/>
        </w:rPr>
      </w:pPr>
      <w:r w:rsidRPr="00CB6E35">
        <w:rPr>
          <w:rFonts w:ascii="宋体" w:eastAsia="宋体" w:hAnsi="宋体" w:hint="eastAsia"/>
          <w:b/>
        </w:rPr>
        <w:t>公募基金适当性风险等级体系一览表</w:t>
      </w:r>
    </w:p>
    <w:tbl>
      <w:tblPr>
        <w:tblW w:w="4420" w:type="dxa"/>
        <w:tblCellMar>
          <w:top w:w="15" w:type="dxa"/>
          <w:bottom w:w="15" w:type="dxa"/>
        </w:tblCellMar>
        <w:tblLook w:val="04A0" w:firstRow="1" w:lastRow="0" w:firstColumn="1" w:lastColumn="0" w:noHBand="0" w:noVBand="1"/>
      </w:tblPr>
      <w:tblGrid>
        <w:gridCol w:w="660"/>
        <w:gridCol w:w="1040"/>
        <w:gridCol w:w="1300"/>
        <w:gridCol w:w="1420"/>
      </w:tblGrid>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序号</w:t>
            </w:r>
          </w:p>
        </w:tc>
        <w:tc>
          <w:tcPr>
            <w:tcW w:w="10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w:t>
            </w:r>
          </w:p>
        </w:tc>
        <w:tc>
          <w:tcPr>
            <w:tcW w:w="13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风险等级编码</w:t>
            </w:r>
          </w:p>
        </w:tc>
        <w:tc>
          <w:tcPr>
            <w:tcW w:w="142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风险等级名称</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一级科目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序号</w:t>
            </w:r>
          </w:p>
        </w:tc>
        <w:tc>
          <w:tcPr>
            <w:tcW w:w="104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w:t>
            </w:r>
          </w:p>
        </w:tc>
        <w:tc>
          <w:tcPr>
            <w:tcW w:w="130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风险等级编码</w:t>
            </w:r>
          </w:p>
        </w:tc>
        <w:tc>
          <w:tcPr>
            <w:tcW w:w="1420"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风险等级名称</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R1-5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低风险-5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6</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7</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8</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9</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lastRenderedPageBreak/>
              <w:t>10</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R2-5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中低风险-5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中风险-1</w:t>
            </w:r>
          </w:p>
        </w:tc>
        <w:bookmarkStart w:id="0" w:name="_GoBack"/>
        <w:bookmarkEnd w:id="0"/>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w:t>
            </w:r>
            <w:r w:rsidR="00A67C32">
              <w:rPr>
                <w:rFonts w:ascii="宋体" w:eastAsia="宋体" w:hAnsi="宋体" w:cs="宋体" w:hint="eastAsia"/>
                <w:color w:val="000000"/>
                <w:kern w:val="0"/>
                <w:sz w:val="16"/>
                <w:szCs w:val="18"/>
              </w:rPr>
              <w:t>-</w:t>
            </w:r>
            <w:r w:rsidR="00A67C32">
              <w:rPr>
                <w:rFonts w:ascii="宋体" w:eastAsia="宋体" w:hAnsi="宋体" w:cs="宋体"/>
                <w:color w:val="000000"/>
                <w:kern w:val="0"/>
                <w:sz w:val="16"/>
                <w:szCs w:val="18"/>
              </w:rPr>
              <w:t>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R3-5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16</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17</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18</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19</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20</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R4-5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中高风险-5</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21</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高风险-1</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22</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R5-2</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高风险-2</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23</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R5-3</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高风险-3</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24</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R5-4</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高风险-4</w:t>
            </w:r>
          </w:p>
        </w:tc>
      </w:tr>
      <w:tr w:rsidR="000A6FB8" w:rsidRPr="00CB6E35" w:rsidTr="008C22BC">
        <w:trPr>
          <w:trHeight w:val="285"/>
        </w:trPr>
        <w:tc>
          <w:tcPr>
            <w:tcW w:w="66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25</w:t>
            </w:r>
          </w:p>
        </w:tc>
        <w:tc>
          <w:tcPr>
            <w:tcW w:w="104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二级科目</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R5-5</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0A6FB8" w:rsidRPr="00CB6E35" w:rsidRDefault="000A6FB8" w:rsidP="008C22BC">
            <w:pPr>
              <w:widowControl/>
              <w:jc w:val="center"/>
              <w:rPr>
                <w:rFonts w:ascii="宋体" w:eastAsia="宋体" w:hAnsi="宋体" w:cs="宋体"/>
                <w:color w:val="000000"/>
                <w:kern w:val="0"/>
                <w:sz w:val="16"/>
                <w:szCs w:val="18"/>
              </w:rPr>
            </w:pPr>
            <w:r w:rsidRPr="00CB6E35">
              <w:rPr>
                <w:rFonts w:ascii="宋体" w:eastAsia="宋体" w:hAnsi="宋体" w:cs="宋体" w:hint="eastAsia"/>
                <w:color w:val="000000"/>
                <w:kern w:val="0"/>
                <w:sz w:val="16"/>
                <w:szCs w:val="18"/>
              </w:rPr>
              <w:t>高风险-5</w:t>
            </w:r>
          </w:p>
        </w:tc>
      </w:tr>
    </w:tbl>
    <w:p w:rsidR="00381B77" w:rsidRPr="00381B77" w:rsidRDefault="00381B77" w:rsidP="00E452E2">
      <w:pPr>
        <w:spacing w:beforeLines="100" w:before="312"/>
        <w:rPr>
          <w:rFonts w:ascii="宋体" w:eastAsia="宋体" w:hAnsi="宋体"/>
        </w:rPr>
      </w:pPr>
      <w:r w:rsidRPr="00381B77">
        <w:rPr>
          <w:rFonts w:ascii="宋体" w:eastAsia="宋体" w:hAnsi="宋体" w:hint="eastAsia"/>
          <w:b/>
          <w:bCs/>
        </w:rPr>
        <w:t>二、基金分类适当性风险等级划分规则</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（一）</w:t>
      </w:r>
      <w:r w:rsidRPr="00381B77">
        <w:rPr>
          <w:rFonts w:ascii="宋体" w:eastAsia="宋体" w:hAnsi="宋体"/>
          <w:b/>
          <w:bCs/>
        </w:rPr>
        <w:tab/>
        <w:t>常规分类的适当性风险定级说明</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hint="eastAsia"/>
        </w:rPr>
        <w:t>我们将公募基金区分为基于基金合同的主基金和基于份额的交易份额基金两个体系。根据交易份额基金体系的《中国银河证券公募基金分类体系》，中国银河证券基金</w:t>
      </w:r>
      <w:r w:rsidR="00765C0A">
        <w:rPr>
          <w:rFonts w:ascii="宋体" w:eastAsia="宋体" w:hAnsi="宋体" w:hint="eastAsia"/>
        </w:rPr>
        <w:t>研究中心制定了基于该基金分类体系的具体三级分类的适当性风险等级，</w:t>
      </w:r>
      <w:r w:rsidRPr="00381B77">
        <w:rPr>
          <w:rFonts w:ascii="宋体" w:eastAsia="宋体" w:hAnsi="宋体" w:hint="eastAsia"/>
        </w:rPr>
        <w:t>详细见列表。</w:t>
      </w:r>
    </w:p>
    <w:p w:rsidR="001D6D1D" w:rsidRDefault="00381B77" w:rsidP="00E452E2">
      <w:pPr>
        <w:spacing w:beforeLines="100" w:before="312"/>
        <w:ind w:firstLineChars="200" w:firstLine="420"/>
        <w:rPr>
          <w:rFonts w:ascii="宋体" w:eastAsia="宋体" w:hAnsi="宋体"/>
        </w:rPr>
      </w:pPr>
      <w:r w:rsidRPr="00381B77">
        <w:rPr>
          <w:rFonts w:ascii="宋体" w:eastAsia="宋体" w:hAnsi="宋体" w:hint="eastAsia"/>
        </w:rPr>
        <w:t>基金分类适当性风险等级划分的主要方法是：</w:t>
      </w:r>
    </w:p>
    <w:p w:rsidR="001D6D1D" w:rsidRDefault="00765C0A" w:rsidP="00E452E2">
      <w:pPr>
        <w:spacing w:beforeLines="100" w:before="312"/>
        <w:ind w:firstLineChars="200" w:firstLine="420"/>
        <w:rPr>
          <w:rFonts w:ascii="宋体" w:eastAsia="宋体" w:hAnsi="宋体"/>
        </w:rPr>
      </w:pPr>
      <w:r>
        <w:rPr>
          <w:rFonts w:ascii="宋体" w:eastAsia="宋体" w:hAnsi="宋体" w:hint="eastAsia"/>
        </w:rPr>
        <w:t>第一、</w:t>
      </w:r>
      <w:r w:rsidR="00381B77" w:rsidRPr="00381B77">
        <w:rPr>
          <w:rFonts w:ascii="宋体" w:eastAsia="宋体" w:hAnsi="宋体" w:hint="eastAsia"/>
        </w:rPr>
        <w:t>根据基础证券产品的风险等级来确定基金产品的风险等级。基金是投资证券的，基础性证券产品的适当性风险等级是基金产品划分的基础。例如：股票基金是对股票的“抽象”，如果是组合投资的公募股票基金，原则上消除具体股票的非系统性风险，减缓股票投资的系统性风险。</w:t>
      </w:r>
    </w:p>
    <w:p w:rsidR="001D6D1D" w:rsidRDefault="00765C0A" w:rsidP="00F20CB9">
      <w:pPr>
        <w:spacing w:beforeLines="100" w:before="312"/>
        <w:ind w:firstLineChars="200" w:firstLine="420"/>
        <w:rPr>
          <w:rFonts w:ascii="宋体" w:eastAsia="宋体" w:hAnsi="宋体"/>
        </w:rPr>
      </w:pPr>
      <w:r>
        <w:rPr>
          <w:rFonts w:ascii="宋体" w:eastAsia="宋体" w:hAnsi="宋体" w:hint="eastAsia"/>
        </w:rPr>
        <w:t>第二、</w:t>
      </w:r>
      <w:r w:rsidR="00381B77" w:rsidRPr="00381B77">
        <w:rPr>
          <w:rFonts w:ascii="宋体" w:eastAsia="宋体" w:hAnsi="宋体" w:hint="eastAsia"/>
        </w:rPr>
        <w:t>确定股票基金这个“锚”。股票基金是主流、成熟、常规的基金品种，股票基金的风险等级“锚”确定后，其他类型基金依序展开。综合中国证券业协会、沪深证券交易所关于股票的风险定级原则说明，最终确定</w:t>
      </w:r>
      <w:r w:rsidR="001D6D1D">
        <w:rPr>
          <w:rFonts w:ascii="宋体" w:eastAsia="宋体" w:hAnsi="宋体" w:hint="eastAsia"/>
        </w:rPr>
        <w:t>一般</w:t>
      </w:r>
      <w:r w:rsidR="00381B77" w:rsidRPr="00381B77">
        <w:rPr>
          <w:rFonts w:ascii="宋体" w:eastAsia="宋体" w:hAnsi="宋体" w:hint="eastAsia"/>
        </w:rPr>
        <w:t>股票基金</w:t>
      </w:r>
      <w:r>
        <w:rPr>
          <w:rFonts w:ascii="宋体" w:eastAsia="宋体" w:hAnsi="宋体" w:hint="eastAsia"/>
        </w:rPr>
        <w:t>的适当性风险定级</w:t>
      </w:r>
      <w:r w:rsidR="00381B77" w:rsidRPr="00381B77">
        <w:rPr>
          <w:rFonts w:ascii="宋体" w:eastAsia="宋体" w:hAnsi="宋体" w:hint="eastAsia"/>
        </w:rPr>
        <w:t>为</w:t>
      </w:r>
      <w:r w:rsidR="00381B77" w:rsidRPr="00381B77">
        <w:rPr>
          <w:rFonts w:ascii="宋体" w:eastAsia="宋体" w:hAnsi="宋体"/>
        </w:rPr>
        <w:t>R3</w:t>
      </w:r>
      <w:r w:rsidRPr="00381B77">
        <w:rPr>
          <w:rFonts w:ascii="宋体" w:eastAsia="宋体" w:hAnsi="宋体" w:hint="eastAsia"/>
        </w:rPr>
        <w:t>中风险</w:t>
      </w:r>
      <w:r w:rsidR="001D6D1D">
        <w:rPr>
          <w:rFonts w:ascii="宋体" w:eastAsia="宋体" w:hAnsi="宋体" w:hint="eastAsia"/>
        </w:rPr>
        <w:t>，但80%以上非现金资产投资于创业板、科创板和北交所的基金适当性定级为R4</w:t>
      </w:r>
      <w:r w:rsidR="00B66911" w:rsidRPr="00B66911">
        <w:rPr>
          <w:rFonts w:ascii="宋体" w:eastAsia="宋体" w:hAnsi="宋体" w:hint="eastAsia"/>
        </w:rPr>
        <w:t>中高风险</w:t>
      </w:r>
      <w:r w:rsidR="00381B77" w:rsidRPr="00381B77">
        <w:rPr>
          <w:rFonts w:ascii="宋体" w:eastAsia="宋体" w:hAnsi="宋体"/>
        </w:rPr>
        <w:t>。</w:t>
      </w:r>
    </w:p>
    <w:p w:rsidR="00E74580" w:rsidRDefault="001D6D1D" w:rsidP="00E452E2">
      <w:pPr>
        <w:spacing w:beforeLines="100" w:before="312"/>
        <w:ind w:firstLineChars="200" w:firstLine="420"/>
        <w:rPr>
          <w:rFonts w:ascii="宋体" w:eastAsia="宋体" w:hAnsi="宋体"/>
        </w:rPr>
      </w:pPr>
      <w:r>
        <w:rPr>
          <w:rFonts w:ascii="宋体" w:eastAsia="宋体" w:hAnsi="宋体" w:hint="eastAsia"/>
        </w:rPr>
        <w:t>第三、</w:t>
      </w:r>
      <w:r w:rsidR="00381B77" w:rsidRPr="00381B77">
        <w:rPr>
          <w:rFonts w:ascii="宋体" w:eastAsia="宋体" w:hAnsi="宋体"/>
        </w:rPr>
        <w:t>根据股票基金的“锚”，确定债券基金为R2，货币市场基金为R1，混合基金</w:t>
      </w:r>
      <w:r w:rsidR="00E74580">
        <w:rPr>
          <w:rFonts w:ascii="宋体" w:eastAsia="宋体" w:hAnsi="宋体" w:hint="eastAsia"/>
        </w:rPr>
        <w:t>介于股票和债券之间，采用就高不就低原则，确定为R3</w:t>
      </w:r>
      <w:r w:rsidR="00381B77" w:rsidRPr="00381B77">
        <w:rPr>
          <w:rFonts w:ascii="宋体" w:eastAsia="宋体" w:hAnsi="宋体"/>
        </w:rPr>
        <w:t>。</w:t>
      </w:r>
      <w:r w:rsidR="00E74580">
        <w:rPr>
          <w:rFonts w:ascii="宋体" w:eastAsia="宋体" w:hAnsi="宋体" w:hint="eastAsia"/>
        </w:rPr>
        <w:t>其中部分混合偏债基金，基金管理人定位为稳健收益品种，实际运作过程中，收益和风险特征与二级债基类似，基金管理人可以申请下调等级至R2。</w:t>
      </w:r>
    </w:p>
    <w:p w:rsidR="00E74580" w:rsidRDefault="00E74580" w:rsidP="00E452E2">
      <w:pPr>
        <w:spacing w:beforeLines="100" w:before="312"/>
        <w:ind w:firstLineChars="200" w:firstLine="420"/>
        <w:rPr>
          <w:rFonts w:ascii="宋体" w:eastAsia="宋体" w:hAnsi="宋体"/>
        </w:rPr>
      </w:pPr>
      <w:r>
        <w:rPr>
          <w:rFonts w:ascii="宋体" w:eastAsia="宋体" w:hAnsi="宋体" w:hint="eastAsia"/>
        </w:rPr>
        <w:t>第四、</w:t>
      </w:r>
      <w:r w:rsidR="00381B77" w:rsidRPr="00381B77">
        <w:rPr>
          <w:rFonts w:ascii="宋体" w:eastAsia="宋体" w:hAnsi="宋体"/>
        </w:rPr>
        <w:t>债券基金也进行二级细分，债券基金接近货币市场基金的确定为R1，</w:t>
      </w:r>
      <w:r w:rsidR="00994948">
        <w:rPr>
          <w:rFonts w:ascii="宋体" w:eastAsia="宋体" w:hAnsi="宋体" w:hint="eastAsia"/>
        </w:rPr>
        <w:t>比如同业存单指数</w:t>
      </w:r>
      <w:r>
        <w:rPr>
          <w:rFonts w:ascii="宋体" w:eastAsia="宋体" w:hAnsi="宋体" w:hint="eastAsia"/>
        </w:rPr>
        <w:t>债券</w:t>
      </w:r>
      <w:r w:rsidR="00994948">
        <w:rPr>
          <w:rFonts w:ascii="宋体" w:eastAsia="宋体" w:hAnsi="宋体" w:hint="eastAsia"/>
        </w:rPr>
        <w:t>型</w:t>
      </w:r>
      <w:r>
        <w:rPr>
          <w:rFonts w:ascii="宋体" w:eastAsia="宋体" w:hAnsi="宋体" w:hint="eastAsia"/>
        </w:rPr>
        <w:t>基金。</w:t>
      </w:r>
      <w:r w:rsidR="00381B77" w:rsidRPr="00381B77">
        <w:rPr>
          <w:rFonts w:ascii="宋体" w:eastAsia="宋体" w:hAnsi="宋体"/>
        </w:rPr>
        <w:t>债券基金中可转债基金接近股票的，则确定为R3</w:t>
      </w:r>
      <w:r>
        <w:rPr>
          <w:rFonts w:ascii="宋体" w:eastAsia="宋体" w:hAnsi="宋体" w:hint="eastAsia"/>
        </w:rPr>
        <w:t>。</w:t>
      </w:r>
      <w:r w:rsidR="001D6D1D">
        <w:rPr>
          <w:rFonts w:ascii="宋体" w:eastAsia="宋体" w:hAnsi="宋体" w:hint="eastAsia"/>
        </w:rPr>
        <w:t>QDII债券基金和北上互认债券基</w:t>
      </w:r>
      <w:r w:rsidR="001D6D1D">
        <w:rPr>
          <w:rFonts w:ascii="宋体" w:eastAsia="宋体" w:hAnsi="宋体" w:hint="eastAsia"/>
        </w:rPr>
        <w:lastRenderedPageBreak/>
        <w:t>金由R2上调到R3（2021年10月1</w:t>
      </w:r>
      <w:r w:rsidR="00D250B4">
        <w:rPr>
          <w:rFonts w:ascii="宋体" w:eastAsia="宋体" w:hAnsi="宋体" w:hint="eastAsia"/>
        </w:rPr>
        <w:t>3</w:t>
      </w:r>
      <w:r w:rsidR="001D6D1D">
        <w:rPr>
          <w:rFonts w:ascii="宋体" w:eastAsia="宋体" w:hAnsi="宋体" w:hint="eastAsia"/>
        </w:rPr>
        <w:t>日调整）</w:t>
      </w:r>
      <w:r w:rsidR="00381B77" w:rsidRPr="00381B77">
        <w:rPr>
          <w:rFonts w:ascii="宋体" w:eastAsia="宋体" w:hAnsi="宋体"/>
        </w:rPr>
        <w:t>。</w:t>
      </w:r>
    </w:p>
    <w:p w:rsidR="00381B77" w:rsidRDefault="00E74580" w:rsidP="00E452E2">
      <w:pPr>
        <w:spacing w:beforeLines="100" w:before="312"/>
        <w:ind w:firstLineChars="200" w:firstLine="420"/>
        <w:rPr>
          <w:rFonts w:ascii="宋体" w:eastAsia="宋体" w:hAnsi="宋体"/>
        </w:rPr>
      </w:pPr>
      <w:r>
        <w:rPr>
          <w:rFonts w:ascii="宋体" w:eastAsia="宋体" w:hAnsi="宋体" w:hint="eastAsia"/>
        </w:rPr>
        <w:t>第五、</w:t>
      </w:r>
      <w:r w:rsidR="00E452E2">
        <w:rPr>
          <w:rFonts w:ascii="宋体" w:eastAsia="宋体" w:hAnsi="宋体" w:hint="eastAsia"/>
        </w:rPr>
        <w:t>复杂产品的适当性定级。</w:t>
      </w:r>
      <w:r w:rsidR="00381B77" w:rsidRPr="00381B77">
        <w:rPr>
          <w:rFonts w:ascii="宋体" w:eastAsia="宋体" w:hAnsi="宋体"/>
        </w:rPr>
        <w:t>由于大宗商品基金、黄金基金</w:t>
      </w:r>
      <w:r w:rsidR="001D6D1D">
        <w:rPr>
          <w:rFonts w:ascii="宋体" w:eastAsia="宋体" w:hAnsi="宋体" w:hint="eastAsia"/>
        </w:rPr>
        <w:t>、基础设施基金（REIT）</w:t>
      </w:r>
      <w:r w:rsidR="00381B77" w:rsidRPr="00381B77">
        <w:rPr>
          <w:rFonts w:ascii="宋体" w:eastAsia="宋体" w:hAnsi="宋体"/>
        </w:rPr>
        <w:t>等比股票基金复杂，因此确定为R4。凡是杠杆基金的，在分类层面均确定为R5。</w:t>
      </w:r>
    </w:p>
    <w:p w:rsidR="00381B77" w:rsidRPr="00381B77" w:rsidRDefault="00A024F9" w:rsidP="00E452E2">
      <w:pPr>
        <w:spacing w:beforeLines="100" w:before="312"/>
        <w:ind w:firstLineChars="200" w:firstLine="420"/>
        <w:rPr>
          <w:rFonts w:ascii="宋体" w:eastAsia="宋体" w:hAnsi="宋体"/>
        </w:rPr>
      </w:pPr>
      <w:r>
        <w:rPr>
          <w:rFonts w:ascii="宋体" w:eastAsia="宋体" w:hAnsi="宋体" w:hint="eastAsia"/>
        </w:rPr>
        <w:t>第六、</w:t>
      </w:r>
      <w:r w:rsidRPr="00381B77">
        <w:rPr>
          <w:rFonts w:ascii="宋体" w:eastAsia="宋体" w:hAnsi="宋体"/>
        </w:rPr>
        <w:t>FOF基金的分类适当性风险等级</w:t>
      </w:r>
      <w:r>
        <w:rPr>
          <w:rFonts w:ascii="宋体" w:eastAsia="宋体" w:hAnsi="宋体" w:hint="eastAsia"/>
        </w:rPr>
        <w:t>。</w:t>
      </w:r>
      <w:r w:rsidRPr="00381B77">
        <w:rPr>
          <w:rFonts w:ascii="宋体" w:eastAsia="宋体" w:hAnsi="宋体"/>
        </w:rPr>
        <w:t>FOF是基金中基金，因此FOF基金的适当性风险等级“锚定”相近的基础基金分类风险等级，比基础基金低1-2个二级档次。</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hint="eastAsia"/>
        </w:rPr>
        <w:t>分类的意义在于相同基金的归类。归类的过程也是基金风险收益关系日益清晰的过程。通过细致的分类，把隐藏在宽泛的大类基金中的不同风险差异充分挖掘与揭示出来，推动公募基金风险等级划分精细化。当某只基金无法找到主流分类归属时，往往预示着这只基金比较复杂，需要提高适当性关注度。通过细致的分类，把基金中的简洁、普通、常规、标准、成熟的基金产品归类，减少适当性工作的强度。</w:t>
      </w:r>
    </w:p>
    <w:p w:rsidR="00381B77" w:rsidRPr="00381B77" w:rsidRDefault="00381B77" w:rsidP="00E452E2">
      <w:pPr>
        <w:spacing w:beforeLines="100" w:before="312"/>
        <w:rPr>
          <w:rFonts w:ascii="宋体" w:eastAsia="宋体" w:hAnsi="宋体"/>
        </w:rPr>
      </w:pPr>
      <w:r w:rsidRPr="00381B77">
        <w:rPr>
          <w:rFonts w:ascii="宋体" w:eastAsia="宋体" w:hAnsi="宋体"/>
        </w:rPr>
        <w:t xml:space="preserve">    《中国银河证券公募基金</w:t>
      </w:r>
      <w:r w:rsidR="00FD4E60">
        <w:rPr>
          <w:rFonts w:ascii="宋体" w:eastAsia="宋体" w:hAnsi="宋体"/>
        </w:rPr>
        <w:t>分类体系》是一个一级、二级、三级的立体架构，其中三级分类数量</w:t>
      </w:r>
      <w:r w:rsidR="00FD4E60">
        <w:rPr>
          <w:rFonts w:ascii="宋体" w:eastAsia="宋体" w:hAnsi="宋体" w:hint="eastAsia"/>
        </w:rPr>
        <w:t>超过2</w:t>
      </w:r>
      <w:r w:rsidR="00FD4E60">
        <w:rPr>
          <w:rFonts w:ascii="宋体" w:eastAsia="宋体" w:hAnsi="宋体"/>
        </w:rPr>
        <w:t>00</w:t>
      </w:r>
      <w:r w:rsidR="00FD4E60">
        <w:rPr>
          <w:rFonts w:ascii="宋体" w:eastAsia="宋体" w:hAnsi="宋体" w:hint="eastAsia"/>
        </w:rPr>
        <w:t>个</w:t>
      </w:r>
      <w:r w:rsidRPr="00381B77">
        <w:rPr>
          <w:rFonts w:ascii="宋体" w:eastAsia="宋体" w:hAnsi="宋体"/>
        </w:rPr>
        <w:t>。细致的三级基金分类，已经完成基金产品适当性风险等级划分的绝大部分工作。</w:t>
      </w:r>
    </w:p>
    <w:p w:rsidR="00381B77" w:rsidRPr="00A024F9" w:rsidRDefault="00A024F9" w:rsidP="00E452E2">
      <w:pPr>
        <w:spacing w:beforeLines="100" w:before="312"/>
        <w:ind w:firstLineChars="200" w:firstLine="420"/>
        <w:rPr>
          <w:rFonts w:ascii="宋体" w:eastAsia="宋体" w:hAnsi="宋体"/>
        </w:rPr>
      </w:pPr>
      <w:r w:rsidRPr="00381B77">
        <w:rPr>
          <w:rFonts w:ascii="宋体" w:eastAsia="宋体" w:hAnsi="宋体"/>
        </w:rPr>
        <w:t>后续我们会</w:t>
      </w:r>
      <w:r>
        <w:rPr>
          <w:rFonts w:ascii="宋体" w:eastAsia="宋体" w:hAnsi="宋体" w:hint="eastAsia"/>
        </w:rPr>
        <w:t>紧跟行业的创新</w:t>
      </w:r>
      <w:r w:rsidR="004A06B2">
        <w:rPr>
          <w:rFonts w:ascii="宋体" w:eastAsia="宋体" w:hAnsi="宋体" w:hint="eastAsia"/>
        </w:rPr>
        <w:t>与</w:t>
      </w:r>
      <w:r>
        <w:rPr>
          <w:rFonts w:ascii="宋体" w:eastAsia="宋体" w:hAnsi="宋体" w:hint="eastAsia"/>
        </w:rPr>
        <w:t>发展</w:t>
      </w:r>
      <w:r w:rsidR="004A06B2">
        <w:rPr>
          <w:rFonts w:ascii="宋体" w:eastAsia="宋体" w:hAnsi="宋体"/>
        </w:rPr>
        <w:t>，对分类体系与适当性风险定级做适度微调</w:t>
      </w:r>
      <w:r w:rsidR="004A06B2">
        <w:rPr>
          <w:rFonts w:ascii="宋体" w:eastAsia="宋体" w:hAnsi="宋体" w:hint="eastAsia"/>
        </w:rPr>
        <w:t>。</w:t>
      </w:r>
      <w:r w:rsidRPr="00381B77">
        <w:rPr>
          <w:rFonts w:ascii="宋体" w:eastAsia="宋体" w:hAnsi="宋体"/>
        </w:rPr>
        <w:t>如有新的调整，我们会及时发布通知</w:t>
      </w:r>
      <w:r>
        <w:rPr>
          <w:rFonts w:ascii="宋体" w:eastAsia="宋体" w:hAnsi="宋体" w:hint="eastAsia"/>
        </w:rPr>
        <w:t>。</w:t>
      </w:r>
    </w:p>
    <w:p w:rsidR="00381B77" w:rsidRPr="00A024F9"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（二）</w:t>
      </w:r>
      <w:r w:rsidR="006766C3">
        <w:rPr>
          <w:rFonts w:ascii="宋体" w:eastAsia="宋体" w:hAnsi="宋体" w:hint="eastAsia"/>
          <w:b/>
          <w:bCs/>
        </w:rPr>
        <w:t>2021年</w:t>
      </w:r>
      <w:r w:rsidRPr="00381B77">
        <w:rPr>
          <w:rFonts w:ascii="宋体" w:eastAsia="宋体" w:hAnsi="宋体" w:hint="eastAsia"/>
          <w:b/>
          <w:bCs/>
        </w:rPr>
        <w:t>适当性定级</w:t>
      </w:r>
      <w:r w:rsidR="006766C3">
        <w:rPr>
          <w:rFonts w:ascii="宋体" w:eastAsia="宋体" w:hAnsi="宋体" w:hint="eastAsia"/>
          <w:b/>
          <w:bCs/>
        </w:rPr>
        <w:t>调整</w:t>
      </w:r>
      <w:r w:rsidRPr="00381B77">
        <w:rPr>
          <w:rFonts w:ascii="宋体" w:eastAsia="宋体" w:hAnsi="宋体" w:hint="eastAsia"/>
          <w:b/>
          <w:bCs/>
        </w:rPr>
        <w:t>说明</w:t>
      </w:r>
      <w:r w:rsidR="006766C3">
        <w:rPr>
          <w:rFonts w:ascii="宋体" w:eastAsia="宋体" w:hAnsi="宋体" w:hint="eastAsia"/>
          <w:b/>
          <w:bCs/>
        </w:rPr>
        <w:t>汇总</w:t>
      </w:r>
    </w:p>
    <w:p w:rsidR="00381B77" w:rsidRPr="00381B77" w:rsidRDefault="006766C3" w:rsidP="00E452E2">
      <w:pPr>
        <w:spacing w:beforeLines="100" w:before="312"/>
        <w:ind w:firstLineChars="200" w:firstLine="420"/>
        <w:rPr>
          <w:rFonts w:ascii="宋体" w:eastAsia="宋体" w:hAnsi="宋体"/>
        </w:rPr>
      </w:pPr>
      <w:r>
        <w:rPr>
          <w:rFonts w:ascii="宋体" w:eastAsia="宋体" w:hAnsi="宋体" w:hint="eastAsia"/>
        </w:rPr>
        <w:t>1</w:t>
      </w:r>
      <w:r w:rsidR="00381B77" w:rsidRPr="00381B77">
        <w:rPr>
          <w:rFonts w:ascii="宋体" w:eastAsia="宋体" w:hAnsi="宋体"/>
        </w:rPr>
        <w:t>、关于</w:t>
      </w:r>
      <w:r w:rsidR="00E452E2">
        <w:rPr>
          <w:rFonts w:ascii="宋体" w:eastAsia="宋体" w:hAnsi="宋体" w:hint="eastAsia"/>
        </w:rPr>
        <w:t>投资</w:t>
      </w:r>
      <w:r w:rsidR="00A024F9">
        <w:rPr>
          <w:rFonts w:ascii="宋体" w:eastAsia="宋体" w:hAnsi="宋体" w:hint="eastAsia"/>
        </w:rPr>
        <w:t>创业</w:t>
      </w:r>
      <w:r w:rsidR="00E452E2">
        <w:rPr>
          <w:rFonts w:ascii="宋体" w:eastAsia="宋体" w:hAnsi="宋体" w:hint="eastAsia"/>
        </w:rPr>
        <w:t>板</w:t>
      </w:r>
      <w:r>
        <w:rPr>
          <w:rFonts w:ascii="宋体" w:eastAsia="宋体" w:hAnsi="宋体" w:hint="eastAsia"/>
        </w:rPr>
        <w:t>和</w:t>
      </w:r>
      <w:r w:rsidR="00381B77" w:rsidRPr="00381B77">
        <w:rPr>
          <w:rFonts w:ascii="宋体" w:eastAsia="宋体" w:hAnsi="宋体"/>
        </w:rPr>
        <w:t>科创</w:t>
      </w:r>
      <w:r w:rsidR="00E452E2">
        <w:rPr>
          <w:rFonts w:ascii="宋体" w:eastAsia="宋体" w:hAnsi="宋体" w:hint="eastAsia"/>
        </w:rPr>
        <w:t>板的基金</w:t>
      </w:r>
      <w:r w:rsidR="00381B77" w:rsidRPr="00381B77">
        <w:rPr>
          <w:rFonts w:ascii="宋体" w:eastAsia="宋体" w:hAnsi="宋体"/>
        </w:rPr>
        <w:t>分类适当性风险等级。2021年1月18日发布《关于2021版基金分类的简要说明》，废止2.1.5科创主题偏股型基金、2.3.11科创主题灵活配置型基金、2.10.5定期开放式科创主题偏股型基金、2.20.3封闭式科创主题偏股型基金，这4个三级分类下的基金调整到各自偏股型基金、灵活配置型基金中去。主要考虑科创主题并不是严格意义上的行业分类或者主题分类，科创板与创业板、中小板一样，也是基金配置的对象之一。创业板与中小板也并未设置相关主题的基金分类。另外科创主题对应的业绩基准的指数横跨覆盖较多行业。为此相关科创主题分类的适当性风险等</w:t>
      </w:r>
      <w:r w:rsidR="00381B77" w:rsidRPr="00381B77">
        <w:rPr>
          <w:rFonts w:ascii="宋体" w:eastAsia="宋体" w:hAnsi="宋体" w:hint="eastAsia"/>
        </w:rPr>
        <w:t>级也跟随分类一并废止。</w:t>
      </w:r>
      <w:r>
        <w:rPr>
          <w:rFonts w:ascii="宋体" w:eastAsia="宋体" w:hAnsi="宋体" w:hint="eastAsia"/>
        </w:rPr>
        <w:t>同时明确，80%以上非现金资产投资于创业板和科创板的基金适当性定级为中高风险R4。</w:t>
      </w:r>
    </w:p>
    <w:p w:rsidR="00381B77" w:rsidRDefault="006766C3" w:rsidP="00E452E2">
      <w:pPr>
        <w:spacing w:beforeLines="100" w:before="312"/>
        <w:ind w:firstLineChars="200" w:firstLine="420"/>
        <w:rPr>
          <w:rFonts w:ascii="宋体" w:eastAsia="宋体" w:hAnsi="宋体"/>
        </w:rPr>
      </w:pPr>
      <w:r>
        <w:rPr>
          <w:rFonts w:ascii="宋体" w:eastAsia="宋体" w:hAnsi="宋体" w:hint="eastAsia"/>
        </w:rPr>
        <w:t>2</w:t>
      </w:r>
      <w:r w:rsidR="00381B77" w:rsidRPr="00381B77">
        <w:rPr>
          <w:rFonts w:ascii="宋体" w:eastAsia="宋体" w:hAnsi="宋体"/>
        </w:rPr>
        <w:t>、关于</w:t>
      </w:r>
      <w:r>
        <w:rPr>
          <w:rFonts w:ascii="宋体" w:eastAsia="宋体" w:hAnsi="宋体" w:hint="eastAsia"/>
        </w:rPr>
        <w:t>北交所主题</w:t>
      </w:r>
      <w:r w:rsidR="00381B77" w:rsidRPr="00381B77">
        <w:rPr>
          <w:rFonts w:ascii="宋体" w:eastAsia="宋体" w:hAnsi="宋体"/>
        </w:rPr>
        <w:t>基金的分类适当性风险等级。20</w:t>
      </w:r>
      <w:r>
        <w:rPr>
          <w:rFonts w:ascii="宋体" w:eastAsia="宋体" w:hAnsi="宋体" w:hint="eastAsia"/>
        </w:rPr>
        <w:t>21</w:t>
      </w:r>
      <w:r w:rsidR="00381B77" w:rsidRPr="00381B77">
        <w:rPr>
          <w:rFonts w:ascii="宋体" w:eastAsia="宋体" w:hAnsi="宋体"/>
        </w:rPr>
        <w:t>年</w:t>
      </w:r>
      <w:r>
        <w:rPr>
          <w:rFonts w:ascii="宋体" w:eastAsia="宋体" w:hAnsi="宋体" w:hint="eastAsia"/>
        </w:rPr>
        <w:t>11</w:t>
      </w:r>
      <w:r w:rsidR="00381B77" w:rsidRPr="00381B77">
        <w:rPr>
          <w:rFonts w:ascii="宋体" w:eastAsia="宋体" w:hAnsi="宋体"/>
        </w:rPr>
        <w:t>月</w:t>
      </w:r>
      <w:r>
        <w:rPr>
          <w:rFonts w:ascii="宋体" w:eastAsia="宋体" w:hAnsi="宋体" w:hint="eastAsia"/>
        </w:rPr>
        <w:t>16</w:t>
      </w:r>
      <w:r w:rsidR="00381B77" w:rsidRPr="00381B77">
        <w:rPr>
          <w:rFonts w:ascii="宋体" w:eastAsia="宋体" w:hAnsi="宋体"/>
        </w:rPr>
        <w:t>日发布《</w:t>
      </w:r>
      <w:r w:rsidRPr="006766C3">
        <w:rPr>
          <w:rFonts w:ascii="宋体" w:eastAsia="宋体" w:hAnsi="宋体" w:hint="eastAsia"/>
        </w:rPr>
        <w:t>关于公募基金产品投资北交所股票适当性风险等级认定的通知</w:t>
      </w:r>
      <w:r w:rsidR="00381B77" w:rsidRPr="00381B77">
        <w:rPr>
          <w:rFonts w:ascii="宋体" w:eastAsia="宋体" w:hAnsi="宋体"/>
        </w:rPr>
        <w:t>》</w:t>
      </w:r>
      <w:r>
        <w:rPr>
          <w:rFonts w:ascii="宋体" w:eastAsia="宋体" w:hAnsi="宋体" w:hint="eastAsia"/>
        </w:rPr>
        <w:t>，</w:t>
      </w:r>
      <w:r w:rsidR="00AC3FD0">
        <w:rPr>
          <w:rFonts w:ascii="宋体" w:eastAsia="宋体" w:hAnsi="宋体" w:hint="eastAsia"/>
        </w:rPr>
        <w:t>认定</w:t>
      </w:r>
      <w:r w:rsidR="00AC3FD0" w:rsidRPr="00AC3FD0">
        <w:rPr>
          <w:rFonts w:ascii="宋体" w:eastAsia="宋体" w:hAnsi="宋体" w:hint="eastAsia"/>
        </w:rPr>
        <w:t>投资于股票（含存托凭证）占基金资产的比例在</w:t>
      </w:r>
      <w:r w:rsidR="00AC3FD0" w:rsidRPr="00AC3FD0">
        <w:rPr>
          <w:rFonts w:ascii="宋体" w:eastAsia="宋体" w:hAnsi="宋体"/>
        </w:rPr>
        <w:t>60%及以上，其中投资于北交所股票的比例不低于非现金资产的80%，基金产品的适当性风险等级定为R4</w:t>
      </w:r>
      <w:r w:rsidR="00381B77" w:rsidRPr="00381B77">
        <w:rPr>
          <w:rFonts w:ascii="宋体" w:eastAsia="宋体" w:hAnsi="宋体"/>
        </w:rPr>
        <w:t>。</w:t>
      </w:r>
      <w:r w:rsidR="00AC3FD0" w:rsidRPr="00AC3FD0">
        <w:rPr>
          <w:rFonts w:ascii="宋体" w:eastAsia="宋体" w:hAnsi="宋体" w:hint="eastAsia"/>
        </w:rPr>
        <w:t>不满足上述条件的其他基金，基金产品适当性风险等级按照原有挂钩中国银河证券公募基金分类体系的定级标准不变</w:t>
      </w:r>
      <w:r w:rsidR="00AC3FD0">
        <w:rPr>
          <w:rFonts w:ascii="宋体" w:eastAsia="宋体" w:hAnsi="宋体" w:hint="eastAsia"/>
        </w:rPr>
        <w:t>。</w:t>
      </w:r>
      <w:r w:rsidR="00AC3FD0" w:rsidRPr="00AC3FD0">
        <w:rPr>
          <w:rFonts w:ascii="宋体" w:eastAsia="宋体" w:hAnsi="宋体" w:hint="eastAsia"/>
        </w:rPr>
        <w:t>首批投资北交所的定期开放混合基金启动发行，中国银河证券基金研究中心新设立主代码口径三级分类“</w:t>
      </w:r>
      <w:r w:rsidR="00AC3FD0" w:rsidRPr="00AC3FD0">
        <w:rPr>
          <w:rFonts w:ascii="宋体" w:eastAsia="宋体" w:hAnsi="宋体"/>
        </w:rPr>
        <w:t>2.10.3定开北交所主题偏股型基金”，交易代码口径三级分类“2.10.3定开北交所主题偏股型基金（A类）”、“2.10.4定开北交所主题偏股型基金（非A类）”，上述分类的适当性风险等级为R4。</w:t>
      </w:r>
      <w:r w:rsidR="00AC3FD0" w:rsidRPr="00AC3FD0">
        <w:rPr>
          <w:rFonts w:ascii="宋体" w:eastAsia="宋体" w:hAnsi="宋体" w:hint="eastAsia"/>
        </w:rPr>
        <w:t>原于</w:t>
      </w:r>
      <w:r w:rsidR="00AC3FD0" w:rsidRPr="00AC3FD0">
        <w:rPr>
          <w:rFonts w:ascii="宋体" w:eastAsia="宋体" w:hAnsi="宋体"/>
        </w:rPr>
        <w:t>2020年12月7日发布的《关于公募基金产品投资新三板精选层股票适当性风险等级认定的通知》同时失效</w:t>
      </w:r>
      <w:r w:rsidR="00AC3FD0">
        <w:rPr>
          <w:rFonts w:ascii="宋体" w:eastAsia="宋体" w:hAnsi="宋体" w:hint="eastAsia"/>
        </w:rPr>
        <w:t>。</w:t>
      </w:r>
    </w:p>
    <w:p w:rsidR="00AC3FD0" w:rsidRDefault="00AC3FD0" w:rsidP="00E452E2">
      <w:pPr>
        <w:spacing w:beforeLines="100" w:before="312"/>
        <w:ind w:firstLineChars="200" w:firstLine="420"/>
        <w:rPr>
          <w:rFonts w:ascii="宋体" w:eastAsia="宋体" w:hAnsi="宋体"/>
        </w:rPr>
      </w:pPr>
      <w:r>
        <w:rPr>
          <w:rFonts w:ascii="宋体" w:eastAsia="宋体" w:hAnsi="宋体" w:hint="eastAsia"/>
        </w:rPr>
        <w:t>3、</w:t>
      </w:r>
      <w:r w:rsidR="00D250B4">
        <w:rPr>
          <w:rFonts w:ascii="宋体" w:eastAsia="宋体" w:hAnsi="宋体" w:hint="eastAsia"/>
        </w:rPr>
        <w:t>关于基础设施基金（REIT）</w:t>
      </w:r>
      <w:r w:rsidR="00D250B4" w:rsidRPr="00381B77">
        <w:rPr>
          <w:rFonts w:ascii="宋体" w:eastAsia="宋体" w:hAnsi="宋体"/>
        </w:rPr>
        <w:t>的分类适当性风险等级</w:t>
      </w:r>
      <w:r w:rsidR="00D250B4">
        <w:rPr>
          <w:rFonts w:ascii="宋体" w:eastAsia="宋体" w:hAnsi="宋体" w:hint="eastAsia"/>
        </w:rPr>
        <w:t>。2021年6月20日发布《</w:t>
      </w:r>
      <w:r w:rsidR="00D250B4" w:rsidRPr="00D250B4">
        <w:rPr>
          <w:rFonts w:ascii="宋体" w:eastAsia="宋体" w:hAnsi="宋体" w:hint="eastAsia"/>
        </w:rPr>
        <w:t>关于公募</w:t>
      </w:r>
      <w:r w:rsidR="00D250B4" w:rsidRPr="00D250B4">
        <w:rPr>
          <w:rFonts w:ascii="宋体" w:eastAsia="宋体" w:hAnsi="宋体"/>
        </w:rPr>
        <w:t>REIT基金投资者适当性风险等级</w:t>
      </w:r>
      <w:r w:rsidR="00D250B4">
        <w:rPr>
          <w:rFonts w:ascii="宋体" w:eastAsia="宋体" w:hAnsi="宋体" w:hint="eastAsia"/>
        </w:rPr>
        <w:t>划分的说明》，确认基础设施基金（REIT）</w:t>
      </w:r>
      <w:r w:rsidR="00D250B4" w:rsidRPr="00381B77">
        <w:rPr>
          <w:rFonts w:ascii="宋体" w:eastAsia="宋体" w:hAnsi="宋体"/>
        </w:rPr>
        <w:t>的</w:t>
      </w:r>
      <w:r w:rsidR="00D250B4">
        <w:rPr>
          <w:rFonts w:ascii="宋体" w:eastAsia="宋体" w:hAnsi="宋体" w:hint="eastAsia"/>
        </w:rPr>
        <w:t>等级为R4。</w:t>
      </w:r>
    </w:p>
    <w:p w:rsidR="00D250B4" w:rsidRDefault="00D250B4" w:rsidP="00E452E2">
      <w:pPr>
        <w:spacing w:beforeLines="100" w:before="312"/>
        <w:ind w:firstLineChars="200" w:firstLine="420"/>
        <w:rPr>
          <w:rFonts w:ascii="宋体" w:eastAsia="宋体" w:hAnsi="宋体"/>
        </w:rPr>
      </w:pPr>
      <w:r>
        <w:rPr>
          <w:rFonts w:ascii="宋体" w:eastAsia="宋体" w:hAnsi="宋体" w:hint="eastAsia"/>
        </w:rPr>
        <w:lastRenderedPageBreak/>
        <w:t>4、提高QDII债券基金和北上互认债券基金的适当性等级到R3。2021年10月13日发布《</w:t>
      </w:r>
      <w:r w:rsidRPr="00D250B4">
        <w:rPr>
          <w:rFonts w:ascii="宋体" w:eastAsia="宋体" w:hAnsi="宋体" w:hint="eastAsia"/>
        </w:rPr>
        <w:t>关于</w:t>
      </w:r>
      <w:r w:rsidRPr="00D250B4">
        <w:rPr>
          <w:rFonts w:ascii="宋体" w:eastAsia="宋体" w:hAnsi="宋体"/>
        </w:rPr>
        <w:t>QDII债券基金与债券型互认基金提高适当性风险等级的通知</w:t>
      </w:r>
      <w:r>
        <w:rPr>
          <w:rFonts w:ascii="宋体" w:eastAsia="宋体" w:hAnsi="宋体" w:hint="eastAsia"/>
        </w:rPr>
        <w:t>》，</w:t>
      </w:r>
      <w:r w:rsidRPr="00D250B4">
        <w:rPr>
          <w:rFonts w:ascii="宋体" w:eastAsia="宋体" w:hAnsi="宋体" w:hint="eastAsia"/>
        </w:rPr>
        <w:t>将</w:t>
      </w:r>
      <w:r w:rsidRPr="00D250B4">
        <w:rPr>
          <w:rFonts w:ascii="宋体" w:eastAsia="宋体" w:hAnsi="宋体"/>
        </w:rPr>
        <w:t xml:space="preserve"> QDII 债券基金和债券型互认基金的适当</w:t>
      </w:r>
      <w:r>
        <w:rPr>
          <w:rFonts w:ascii="宋体" w:eastAsia="宋体" w:hAnsi="宋体" w:hint="eastAsia"/>
        </w:rPr>
        <w:t>性</w:t>
      </w:r>
      <w:r w:rsidRPr="00D250B4">
        <w:rPr>
          <w:rFonts w:ascii="宋体" w:eastAsia="宋体" w:hAnsi="宋体" w:hint="eastAsia"/>
        </w:rPr>
        <w:t>等级从</w:t>
      </w:r>
      <w:r w:rsidRPr="00D250B4">
        <w:rPr>
          <w:rFonts w:ascii="宋体" w:eastAsia="宋体" w:hAnsi="宋体"/>
        </w:rPr>
        <w:t xml:space="preserve"> R2 调高到 R3。在中国银河证券基金评价系统中进行历</w:t>
      </w:r>
      <w:r w:rsidRPr="00D250B4">
        <w:rPr>
          <w:rFonts w:ascii="宋体" w:eastAsia="宋体" w:hAnsi="宋体" w:hint="eastAsia"/>
        </w:rPr>
        <w:t>史记录，不执行追溯机制。</w:t>
      </w:r>
      <w:r w:rsidRPr="00D250B4">
        <w:rPr>
          <w:rFonts w:ascii="宋体" w:eastAsia="宋体" w:hAnsi="宋体"/>
        </w:rPr>
        <w:t>2021 年 10 月 13 日之前仍然是 R2，</w:t>
      </w:r>
      <w:r>
        <w:rPr>
          <w:rFonts w:ascii="宋体" w:eastAsia="宋体" w:hAnsi="宋体"/>
        </w:rPr>
        <w:t>2021</w:t>
      </w:r>
      <w:r w:rsidRPr="00D250B4">
        <w:rPr>
          <w:rFonts w:ascii="宋体" w:eastAsia="宋体" w:hAnsi="宋体" w:hint="eastAsia"/>
        </w:rPr>
        <w:t>年</w:t>
      </w:r>
      <w:r w:rsidRPr="00D250B4">
        <w:rPr>
          <w:rFonts w:ascii="宋体" w:eastAsia="宋体" w:hAnsi="宋体"/>
        </w:rPr>
        <w:t xml:space="preserve"> 10 月 13 日开始是 R3</w:t>
      </w:r>
      <w:r>
        <w:rPr>
          <w:rFonts w:ascii="宋体" w:eastAsia="宋体" w:hAnsi="宋体" w:hint="eastAsia"/>
        </w:rPr>
        <w:t>。</w:t>
      </w:r>
    </w:p>
    <w:p w:rsidR="00E25476" w:rsidRDefault="00D250B4" w:rsidP="00E452E2">
      <w:pPr>
        <w:spacing w:beforeLines="100" w:before="312"/>
        <w:ind w:firstLineChars="200" w:firstLine="420"/>
        <w:rPr>
          <w:rFonts w:ascii="宋体" w:eastAsia="宋体" w:hAnsi="宋体"/>
        </w:rPr>
      </w:pPr>
      <w:r>
        <w:rPr>
          <w:rFonts w:ascii="宋体" w:eastAsia="宋体" w:hAnsi="宋体" w:hint="eastAsia"/>
        </w:rPr>
        <w:t>5、新增分类的适当性定级</w:t>
      </w:r>
      <w:r w:rsidR="00E25476">
        <w:rPr>
          <w:rFonts w:ascii="宋体" w:eastAsia="宋体" w:hAnsi="宋体" w:hint="eastAsia"/>
        </w:rPr>
        <w:t>。2021年10月19日发布了《</w:t>
      </w:r>
      <w:r w:rsidR="00E25476" w:rsidRPr="00E25476">
        <w:rPr>
          <w:rFonts w:ascii="宋体" w:eastAsia="宋体" w:hAnsi="宋体" w:hint="eastAsia"/>
        </w:rPr>
        <w:t>关于调整“指数债券型基金”分类和新增“封闭式混合</w:t>
      </w:r>
      <w:r w:rsidR="00E25476" w:rsidRPr="00E25476">
        <w:rPr>
          <w:rFonts w:ascii="宋体" w:eastAsia="宋体" w:hAnsi="宋体"/>
        </w:rPr>
        <w:t>FOF”、“QDII跨境ETF联接基金”分类的说明</w:t>
      </w:r>
      <w:r w:rsidR="00E25476">
        <w:rPr>
          <w:rFonts w:ascii="宋体" w:eastAsia="宋体" w:hAnsi="宋体" w:hint="eastAsia"/>
        </w:rPr>
        <w:t>》。</w:t>
      </w:r>
    </w:p>
    <w:p w:rsidR="00D250B4" w:rsidRDefault="00E25476" w:rsidP="00E452E2">
      <w:pPr>
        <w:spacing w:beforeLines="100" w:before="312"/>
        <w:ind w:firstLineChars="200" w:firstLine="420"/>
        <w:rPr>
          <w:rFonts w:ascii="宋体" w:eastAsia="宋体" w:hAnsi="宋体"/>
        </w:rPr>
      </w:pPr>
      <w:r>
        <w:rPr>
          <w:rFonts w:ascii="宋体" w:eastAsia="宋体" w:hAnsi="宋体" w:hint="eastAsia"/>
        </w:rPr>
        <w:t>债券基金</w:t>
      </w:r>
      <w:r w:rsidRPr="00E25476">
        <w:rPr>
          <w:rFonts w:ascii="宋体" w:eastAsia="宋体" w:hAnsi="宋体" w:hint="eastAsia"/>
        </w:rPr>
        <w:t>取消原三级分类中的“</w:t>
      </w:r>
      <w:r w:rsidRPr="00E25476">
        <w:rPr>
          <w:rFonts w:ascii="宋体" w:eastAsia="宋体" w:hAnsi="宋体"/>
        </w:rPr>
        <w:t>3.7.1指数债券型基金”，并根据基金主要投资的债券类别，新设了“3.7.1利率债指数债券型基金”</w:t>
      </w:r>
      <w:r>
        <w:rPr>
          <w:rFonts w:ascii="宋体" w:eastAsia="宋体" w:hAnsi="宋体" w:hint="eastAsia"/>
        </w:rPr>
        <w:t>，适当性定级为R2；</w:t>
      </w:r>
      <w:r w:rsidRPr="00E25476">
        <w:rPr>
          <w:rFonts w:ascii="宋体" w:eastAsia="宋体" w:hAnsi="宋体"/>
        </w:rPr>
        <w:t>“3.7.3信用债指数债券型基金”</w:t>
      </w:r>
      <w:r>
        <w:rPr>
          <w:rFonts w:ascii="宋体" w:eastAsia="宋体" w:hAnsi="宋体" w:hint="eastAsia"/>
        </w:rPr>
        <w:t>，</w:t>
      </w:r>
      <w:r w:rsidRPr="00E25476">
        <w:rPr>
          <w:rFonts w:ascii="宋体" w:eastAsia="宋体" w:hAnsi="宋体" w:hint="eastAsia"/>
        </w:rPr>
        <w:t xml:space="preserve"> </w:t>
      </w:r>
      <w:r>
        <w:rPr>
          <w:rFonts w:ascii="宋体" w:eastAsia="宋体" w:hAnsi="宋体" w:hint="eastAsia"/>
        </w:rPr>
        <w:t>适当性定级为R2；</w:t>
      </w:r>
      <w:r w:rsidRPr="00E25476">
        <w:rPr>
          <w:rFonts w:ascii="宋体" w:eastAsia="宋体" w:hAnsi="宋体"/>
        </w:rPr>
        <w:t>“3.7.5可转债指数债券型基金”</w:t>
      </w:r>
      <w:r>
        <w:rPr>
          <w:rFonts w:ascii="宋体" w:eastAsia="宋体" w:hAnsi="宋体" w:hint="eastAsia"/>
        </w:rPr>
        <w:t>，适当性定级为R3；</w:t>
      </w:r>
      <w:r w:rsidRPr="00E25476">
        <w:rPr>
          <w:rFonts w:ascii="宋体" w:eastAsia="宋体" w:hAnsi="宋体"/>
        </w:rPr>
        <w:t xml:space="preserve"> “3.7.7同业存单指数债券型基金”</w:t>
      </w:r>
      <w:r>
        <w:rPr>
          <w:rFonts w:ascii="宋体" w:eastAsia="宋体" w:hAnsi="宋体" w:hint="eastAsia"/>
        </w:rPr>
        <w:t>，适当性定级为R1。</w:t>
      </w:r>
    </w:p>
    <w:p w:rsidR="00E25476" w:rsidRDefault="00E25476" w:rsidP="00E452E2">
      <w:pPr>
        <w:spacing w:beforeLines="100" w:before="312"/>
        <w:ind w:firstLineChars="200" w:firstLine="420"/>
        <w:rPr>
          <w:rFonts w:ascii="宋体" w:eastAsia="宋体" w:hAnsi="宋体"/>
        </w:rPr>
      </w:pPr>
      <w:r w:rsidRPr="00E452E2">
        <w:rPr>
          <w:rFonts w:ascii="宋体" w:eastAsia="宋体" w:hAnsi="宋体" w:hint="eastAsia"/>
        </w:rPr>
        <w:t>FOF</w:t>
      </w:r>
      <w:r>
        <w:rPr>
          <w:rFonts w:ascii="宋体" w:eastAsia="宋体" w:hAnsi="宋体" w:hint="eastAsia"/>
        </w:rPr>
        <w:t>基金</w:t>
      </w:r>
      <w:r w:rsidRPr="00E452E2">
        <w:rPr>
          <w:rFonts w:ascii="宋体" w:eastAsia="宋体" w:hAnsi="宋体" w:hint="eastAsia"/>
        </w:rPr>
        <w:t>新增设置了二级分类“10</w:t>
      </w:r>
      <w:r w:rsidRPr="00E452E2">
        <w:rPr>
          <w:rFonts w:ascii="宋体" w:eastAsia="宋体" w:hAnsi="宋体"/>
        </w:rPr>
        <w:t>.</w:t>
      </w:r>
      <w:r w:rsidRPr="00E452E2">
        <w:rPr>
          <w:rFonts w:ascii="宋体" w:eastAsia="宋体" w:hAnsi="宋体" w:hint="eastAsia"/>
        </w:rPr>
        <w:t>24封闭式混合FOF”，三级分类“10</w:t>
      </w:r>
      <w:r w:rsidRPr="00E452E2">
        <w:rPr>
          <w:rFonts w:ascii="宋体" w:eastAsia="宋体" w:hAnsi="宋体"/>
        </w:rPr>
        <w:t>.</w:t>
      </w:r>
      <w:r w:rsidRPr="00E452E2">
        <w:rPr>
          <w:rFonts w:ascii="宋体" w:eastAsia="宋体" w:hAnsi="宋体" w:hint="eastAsia"/>
        </w:rPr>
        <w:t>24</w:t>
      </w:r>
      <w:r w:rsidRPr="00E452E2">
        <w:rPr>
          <w:rFonts w:ascii="宋体" w:eastAsia="宋体" w:hAnsi="宋体"/>
        </w:rPr>
        <w:t>.1</w:t>
      </w:r>
      <w:r w:rsidRPr="00E452E2">
        <w:rPr>
          <w:rFonts w:ascii="宋体" w:eastAsia="宋体" w:hAnsi="宋体" w:hint="eastAsia"/>
        </w:rPr>
        <w:t>封闭式混合FOF”</w:t>
      </w:r>
      <w:r>
        <w:rPr>
          <w:rFonts w:ascii="宋体" w:eastAsia="宋体" w:hAnsi="宋体" w:hint="eastAsia"/>
        </w:rPr>
        <w:t>，适当性定级为R3。</w:t>
      </w:r>
    </w:p>
    <w:p w:rsidR="00E25476" w:rsidRPr="00AC3FD0" w:rsidRDefault="00E25476" w:rsidP="00E452E2">
      <w:pPr>
        <w:spacing w:beforeLines="100" w:before="312"/>
        <w:ind w:firstLineChars="200" w:firstLine="420"/>
        <w:rPr>
          <w:rFonts w:ascii="宋体" w:eastAsia="宋体" w:hAnsi="宋体"/>
        </w:rPr>
      </w:pPr>
      <w:r>
        <w:rPr>
          <w:rFonts w:ascii="宋体" w:eastAsia="宋体" w:hAnsi="宋体" w:hint="eastAsia"/>
        </w:rPr>
        <w:t>QDII基金</w:t>
      </w:r>
      <w:r w:rsidRPr="00E25476">
        <w:rPr>
          <w:rFonts w:ascii="宋体" w:eastAsia="宋体" w:hAnsi="宋体" w:hint="eastAsia"/>
        </w:rPr>
        <w:t>新增设置了三级分类“</w:t>
      </w:r>
      <w:r w:rsidRPr="00E25476">
        <w:rPr>
          <w:rFonts w:ascii="宋体" w:eastAsia="宋体" w:hAnsi="宋体"/>
        </w:rPr>
        <w:t>6.1.7QDII跨境ETF联接基金”，</w:t>
      </w:r>
      <w:r w:rsidRPr="00E25476">
        <w:rPr>
          <w:rFonts w:ascii="宋体" w:eastAsia="宋体" w:hAnsi="宋体" w:hint="eastAsia"/>
        </w:rPr>
        <w:t xml:space="preserve"> </w:t>
      </w:r>
      <w:r>
        <w:rPr>
          <w:rFonts w:ascii="宋体" w:eastAsia="宋体" w:hAnsi="宋体" w:hint="eastAsia"/>
        </w:rPr>
        <w:t>适当性定级为R3，</w:t>
      </w:r>
      <w:r w:rsidRPr="00E25476">
        <w:rPr>
          <w:rFonts w:ascii="宋体" w:eastAsia="宋体" w:hAnsi="宋体"/>
        </w:rPr>
        <w:t>原三级分类“6.1.5QDII跨境ETF基金”中的ETF联接基金统一调整到新设分类中</w:t>
      </w:r>
      <w:r>
        <w:rPr>
          <w:rFonts w:ascii="宋体" w:eastAsia="宋体" w:hAnsi="宋体" w:hint="eastAsia"/>
        </w:rPr>
        <w:t>，适当性定级没有变化。</w:t>
      </w:r>
    </w:p>
    <w:p w:rsidR="00381B77" w:rsidRPr="00381B77" w:rsidRDefault="00381B77" w:rsidP="00E452E2">
      <w:pPr>
        <w:spacing w:beforeLines="100" w:before="312"/>
        <w:rPr>
          <w:rFonts w:ascii="宋体" w:eastAsia="宋体" w:hAnsi="宋体"/>
        </w:rPr>
      </w:pPr>
      <w:r w:rsidRPr="00381B77">
        <w:rPr>
          <w:rFonts w:ascii="宋体" w:eastAsia="宋体" w:hAnsi="宋体" w:hint="eastAsia"/>
          <w:b/>
          <w:bCs/>
        </w:rPr>
        <w:t>三、</w:t>
      </w:r>
      <w:r w:rsidRPr="00381B77">
        <w:rPr>
          <w:rFonts w:ascii="宋体" w:eastAsia="宋体" w:hAnsi="宋体"/>
          <w:b/>
          <w:bCs/>
        </w:rPr>
        <w:t>基金产品适当性风险等级划分规则</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（一）基金管理人适当性风险评价。</w:t>
      </w:r>
      <w:r w:rsidRPr="00381B77">
        <w:rPr>
          <w:rFonts w:ascii="宋体" w:eastAsia="宋体" w:hAnsi="宋体" w:hint="eastAsia"/>
        </w:rPr>
        <w:t>根据《管理办法》与《实施指引》，建立了包括基金管理人治理</w:t>
      </w:r>
      <w:r w:rsidR="00765C0A">
        <w:rPr>
          <w:rFonts w:ascii="宋体" w:eastAsia="宋体" w:hAnsi="宋体" w:hint="eastAsia"/>
        </w:rPr>
        <w:t>结构、诚信状况、经营管理能力、投资管理能力、内部控制、合法合规</w:t>
      </w:r>
      <w:r w:rsidRPr="00381B77">
        <w:rPr>
          <w:rFonts w:ascii="宋体" w:eastAsia="宋体" w:hAnsi="宋体" w:hint="eastAsia"/>
        </w:rPr>
        <w:t>情况</w:t>
      </w:r>
      <w:r w:rsidR="00765C0A">
        <w:rPr>
          <w:rFonts w:ascii="宋体" w:eastAsia="宋体" w:hAnsi="宋体" w:hint="eastAsia"/>
        </w:rPr>
        <w:t>的《基金管理人适当性风险评价体系》。</w:t>
      </w:r>
      <w:r w:rsidRPr="00381B77">
        <w:rPr>
          <w:rFonts w:ascii="宋体" w:eastAsia="宋体" w:hAnsi="宋体" w:hint="eastAsia"/>
        </w:rPr>
        <w:t>基金管理人适当性风险评价的权重在公募基金产品评价中占比不超过</w:t>
      </w:r>
      <w:r w:rsidRPr="00381B77">
        <w:rPr>
          <w:rFonts w:ascii="宋体" w:eastAsia="宋体" w:hAnsi="宋体"/>
        </w:rPr>
        <w:t>20%。</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（二）基金产品适当性风险评价。</w:t>
      </w:r>
      <w:r w:rsidRPr="00381B77">
        <w:rPr>
          <w:rFonts w:ascii="宋体" w:eastAsia="宋体" w:hAnsi="宋体" w:hint="eastAsia"/>
        </w:rPr>
        <w:t>根据《管理办法》与《实施指引》，建立了包括基金产品合法合规、发行方式、类型、组织形式、托管情况、投资范围、投资策略、投资限制概况、业绩比较基准、收益与风险匹配情况、投资者承担的主要费用等的《基金产品适当性风险评价体系》。产品因素适当性风险评价的权重在公募基金产品评价中占比超过</w:t>
      </w:r>
      <w:r w:rsidRPr="00381B77">
        <w:rPr>
          <w:rFonts w:ascii="宋体" w:eastAsia="宋体" w:hAnsi="宋体"/>
        </w:rPr>
        <w:t>80%。</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（三）基金产品适当性风险初始定级。</w:t>
      </w:r>
      <w:r w:rsidRPr="00381B77">
        <w:rPr>
          <w:rFonts w:ascii="宋体" w:eastAsia="宋体" w:hAnsi="宋体" w:hint="eastAsia"/>
        </w:rPr>
        <w:t>新的基金根据招募说明书刊登的基金产品概要内容，首先确定所属基金分类，原则上根据基金分类确定风险等级，特殊情况的再精细确定。一般来说，初始定级因素在产品评价中的权重超过</w:t>
      </w:r>
      <w:r w:rsidRPr="00381B77">
        <w:rPr>
          <w:rFonts w:ascii="宋体" w:eastAsia="宋体" w:hAnsi="宋体"/>
        </w:rPr>
        <w:t>80%。</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（四）基金产品适当性风险持续性评价。</w:t>
      </w:r>
      <w:r w:rsidRPr="00381B77">
        <w:rPr>
          <w:rFonts w:ascii="宋体" w:eastAsia="宋体" w:hAnsi="宋体" w:hint="eastAsia"/>
        </w:rPr>
        <w:t>基金产品初始定级后进入持续性评价阶段，持续性评价因素在产品评价中的权重不超过</w:t>
      </w:r>
      <w:r w:rsidRPr="00381B77">
        <w:rPr>
          <w:rFonts w:ascii="宋体" w:eastAsia="宋体" w:hAnsi="宋体"/>
        </w:rPr>
        <w:t>20%。</w:t>
      </w:r>
    </w:p>
    <w:p w:rsidR="00381B77" w:rsidRDefault="00381B77" w:rsidP="00E452E2">
      <w:pPr>
        <w:spacing w:beforeLines="100" w:before="312"/>
        <w:ind w:firstLineChars="200" w:firstLine="420"/>
        <w:rPr>
          <w:rFonts w:ascii="宋体" w:eastAsia="宋体" w:hAnsi="宋体"/>
        </w:rPr>
      </w:pPr>
      <w:r w:rsidRPr="00381B77">
        <w:rPr>
          <w:rFonts w:ascii="宋体" w:eastAsia="宋体" w:hAnsi="宋体"/>
        </w:rPr>
        <w:t>1、季度评估。每个季度基金季报披露完毕后一周之内，根据披露的季报信息，结合基金资产组合、净值增长率、业绩比较基准、标准差、股票行业明细以及其他公开披露内容，进行适当性风险等级的再评估并重新定级。风险等级没有变化的继续维持，有变化的注明变化的原因并醒目方式进行提示。</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rPr>
        <w:t>2、半年度与年度评估。基金大约3月下旬与8月下旬分别披露上一年度报告与本年度上半年报告，根据半年报与年报更为详细的信息，进行适当性风险等级的再评估并重新定级。风险等级没</w:t>
      </w:r>
      <w:r w:rsidRPr="00381B77">
        <w:rPr>
          <w:rFonts w:ascii="宋体" w:eastAsia="宋体" w:hAnsi="宋体"/>
        </w:rPr>
        <w:lastRenderedPageBreak/>
        <w:t>有变化的继续维持，有变化的注明变化的原因并醒目方式进行提示。</w:t>
      </w:r>
    </w:p>
    <w:p w:rsidR="00381B77" w:rsidRPr="00381B77" w:rsidRDefault="00381B77" w:rsidP="00E452E2">
      <w:pPr>
        <w:spacing w:beforeLines="100" w:before="312"/>
        <w:ind w:firstLineChars="200" w:firstLine="420"/>
        <w:rPr>
          <w:rFonts w:ascii="宋体" w:eastAsia="宋体" w:hAnsi="宋体"/>
        </w:rPr>
      </w:pPr>
      <w:r w:rsidRPr="00381B77">
        <w:rPr>
          <w:rFonts w:ascii="宋体" w:eastAsia="宋体" w:hAnsi="宋体"/>
        </w:rPr>
        <w:t>3、不定期评估。根据基金公开信息披露，不定期评估部分基金。风险等级没有变化的继续维持，有变化的注明变化的原因并以醒目方式进行提示。</w:t>
      </w:r>
    </w:p>
    <w:p w:rsidR="00381B77" w:rsidRPr="00381B77" w:rsidRDefault="00381B77" w:rsidP="00E452E2">
      <w:pPr>
        <w:spacing w:beforeLines="100" w:before="312"/>
        <w:ind w:firstLineChars="200" w:firstLine="422"/>
        <w:rPr>
          <w:rFonts w:ascii="宋体" w:eastAsia="宋体" w:hAnsi="宋体"/>
        </w:rPr>
      </w:pPr>
      <w:r w:rsidRPr="00381B77">
        <w:rPr>
          <w:rFonts w:ascii="宋体" w:eastAsia="宋体" w:hAnsi="宋体" w:hint="eastAsia"/>
          <w:b/>
          <w:bCs/>
        </w:rPr>
        <w:t>（五）基金产品与基金分类的适当性差异提示。</w:t>
      </w:r>
      <w:r w:rsidRPr="00381B77">
        <w:rPr>
          <w:rFonts w:ascii="宋体" w:eastAsia="宋体" w:hAnsi="宋体" w:hint="eastAsia"/>
        </w:rPr>
        <w:t>具体单只基金产品的适当性风险等级划分以所属基金分类以基准，再根据自身特殊的产品因素、管理人因素做微调。特别情况下，可以对单只基金产品做重大调整。一般来说，某只基金的适当性风险等级与其所属的三级分类的风险等级是一致的。凡是不一致的，变动的是二级科目的，属于小类调整。凡是不一致的，变动的是一级科目，则需要重点关注并以醒目方式进行提示。</w:t>
      </w:r>
    </w:p>
    <w:p w:rsidR="00381B77" w:rsidRDefault="00381B77" w:rsidP="00E452E2">
      <w:pPr>
        <w:spacing w:beforeLines="100" w:before="312"/>
        <w:rPr>
          <w:rFonts w:ascii="宋体" w:eastAsia="宋体" w:hAnsi="宋体"/>
        </w:rPr>
      </w:pPr>
      <w:r w:rsidRPr="00381B77">
        <w:rPr>
          <w:rFonts w:ascii="宋体" w:eastAsia="宋体" w:hAnsi="宋体" w:hint="eastAsia"/>
          <w:b/>
          <w:bCs/>
        </w:rPr>
        <w:t>四、</w:t>
      </w:r>
      <w:r w:rsidR="00715AD8">
        <w:rPr>
          <w:rFonts w:ascii="宋体" w:eastAsia="宋体" w:hAnsi="宋体" w:hint="eastAsia"/>
          <w:b/>
          <w:bCs/>
        </w:rPr>
        <w:t>规则文档与</w:t>
      </w:r>
      <w:r w:rsidRPr="00381B77">
        <w:rPr>
          <w:rFonts w:ascii="宋体" w:eastAsia="宋体" w:hAnsi="宋体" w:hint="eastAsia"/>
          <w:b/>
          <w:bCs/>
        </w:rPr>
        <w:t>签约授权使用说明</w:t>
      </w:r>
    </w:p>
    <w:p w:rsidR="00715AD8" w:rsidRDefault="00715AD8" w:rsidP="00E452E2">
      <w:pPr>
        <w:spacing w:beforeLines="100" w:before="312"/>
        <w:ind w:firstLineChars="200" w:firstLine="420"/>
        <w:rPr>
          <w:rFonts w:ascii="宋体" w:eastAsia="宋体" w:hAnsi="宋体"/>
        </w:rPr>
      </w:pPr>
      <w:r w:rsidRPr="00381B77">
        <w:rPr>
          <w:rFonts w:ascii="宋体" w:eastAsia="宋体" w:hAnsi="宋体" w:hint="eastAsia"/>
        </w:rPr>
        <w:t>中国银河证券基金研究中心在具体执业过程中，将根据《管理办法》、《实施指引》以及公募基金行业发展实际情况，不断修改完善优化适当性风险等级评价体系的工作，并在官方网站等地方及时刊登各类业务规则文档。</w:t>
      </w:r>
    </w:p>
    <w:p w:rsidR="00381B77" w:rsidRDefault="00326A07" w:rsidP="00E452E2">
      <w:pPr>
        <w:spacing w:beforeLines="100" w:before="312"/>
        <w:ind w:firstLineChars="200" w:firstLine="422"/>
        <w:rPr>
          <w:rFonts w:ascii="宋体" w:eastAsia="宋体" w:hAnsi="宋体"/>
        </w:rPr>
      </w:pPr>
      <w:r w:rsidRPr="00715AD8">
        <w:rPr>
          <w:rFonts w:ascii="宋体" w:eastAsia="宋体" w:hAnsi="宋体" w:hint="eastAsia"/>
          <w:b/>
          <w:bCs/>
        </w:rPr>
        <w:t>签约机构使用。</w:t>
      </w:r>
      <w:r w:rsidR="00381B77" w:rsidRPr="00381B77">
        <w:rPr>
          <w:rFonts w:ascii="宋体" w:eastAsia="宋体" w:hAnsi="宋体" w:hint="eastAsia"/>
        </w:rPr>
        <w:t>签约的合作伙伴通过银河证券基金研究中心网站专区，凭借用户名与密码登陆下载自身机构旗下基金的适当性风险等级划分结果。</w:t>
      </w:r>
    </w:p>
    <w:p w:rsidR="00347858" w:rsidRPr="00347858" w:rsidRDefault="00347858" w:rsidP="00E452E2">
      <w:pPr>
        <w:spacing w:beforeLines="100" w:before="312"/>
        <w:ind w:firstLineChars="200" w:firstLine="422"/>
        <w:rPr>
          <w:rFonts w:ascii="宋体" w:eastAsia="宋体" w:hAnsi="宋体"/>
        </w:rPr>
      </w:pPr>
      <w:r w:rsidRPr="00715AD8">
        <w:rPr>
          <w:rFonts w:ascii="宋体" w:eastAsia="宋体" w:hAnsi="宋体"/>
          <w:b/>
          <w:bCs/>
        </w:rPr>
        <w:t>公募基金适当性风险评价</w:t>
      </w:r>
      <w:r w:rsidR="00715AD8" w:rsidRPr="00715AD8">
        <w:rPr>
          <w:rFonts w:ascii="宋体" w:eastAsia="宋体" w:hAnsi="宋体" w:hint="eastAsia"/>
          <w:b/>
          <w:bCs/>
        </w:rPr>
        <w:t>结果</w:t>
      </w:r>
      <w:r w:rsidRPr="00715AD8">
        <w:rPr>
          <w:rFonts w:ascii="宋体" w:eastAsia="宋体" w:hAnsi="宋体"/>
          <w:b/>
          <w:bCs/>
        </w:rPr>
        <w:t>授权。</w:t>
      </w:r>
      <w:r w:rsidR="00EF7AC4">
        <w:rPr>
          <w:rFonts w:ascii="宋体" w:eastAsia="宋体" w:hAnsi="宋体" w:hint="eastAsia"/>
        </w:rPr>
        <w:t>中国银河证券基金研究中心</w:t>
      </w:r>
      <w:r w:rsidRPr="00347858">
        <w:rPr>
          <w:rFonts w:ascii="宋体" w:eastAsia="宋体" w:hAnsi="宋体"/>
        </w:rPr>
        <w:t>向</w:t>
      </w:r>
      <w:r w:rsidR="00EF7AC4">
        <w:rPr>
          <w:rFonts w:ascii="宋体" w:eastAsia="宋体" w:hAnsi="宋体" w:hint="eastAsia"/>
        </w:rPr>
        <w:t>基金管理人与基金销售机构</w:t>
      </w:r>
      <w:r w:rsidRPr="00347858">
        <w:rPr>
          <w:rFonts w:ascii="宋体" w:eastAsia="宋体" w:hAnsi="宋体"/>
        </w:rPr>
        <w:t>提供</w:t>
      </w:r>
      <w:r w:rsidR="00EF7AC4">
        <w:rPr>
          <w:rFonts w:ascii="宋体" w:eastAsia="宋体" w:hAnsi="宋体" w:hint="eastAsia"/>
        </w:rPr>
        <w:t>自身</w:t>
      </w:r>
      <w:r w:rsidRPr="00347858">
        <w:rPr>
          <w:rFonts w:ascii="宋体" w:eastAsia="宋体" w:hAnsi="宋体"/>
        </w:rPr>
        <w:t>自主知识产权的《中国银河证券基金研究中心公募基金产品适当性风险评价体系》及其相关内容的使用授权。该体系与内容是</w:t>
      </w:r>
      <w:r w:rsidR="00EF7AC4">
        <w:rPr>
          <w:rFonts w:ascii="宋体" w:eastAsia="宋体" w:hAnsi="宋体" w:hint="eastAsia"/>
        </w:rPr>
        <w:t>基金研究中心</w:t>
      </w:r>
      <w:r w:rsidRPr="00347858">
        <w:rPr>
          <w:rFonts w:ascii="宋体" w:eastAsia="宋体" w:hAnsi="宋体"/>
        </w:rPr>
        <w:t>根据《证券期货投资者适当性管理办法》、《基金募集机构投资者适当性管理实施指引（试行）》制作的一系列指标及其结果，并且根据监管规定、行业自律规定进行的持续性更新。该服务的具体内容如下：（1）公募基金产品适当性风险等级评价结果（R1、R2、R3、R4、R5），可以对外公开引用。（2）基金管理人适当性风险等级评价，该评价结果仅限甲方内部使用，不</w:t>
      </w:r>
      <w:r w:rsidRPr="00347858">
        <w:rPr>
          <w:rFonts w:ascii="宋体" w:eastAsia="宋体" w:hAnsi="宋体" w:hint="eastAsia"/>
        </w:rPr>
        <w:t>得对外公开引用。</w:t>
      </w:r>
    </w:p>
    <w:p w:rsidR="00E25476" w:rsidRDefault="00EF7AC4" w:rsidP="006766C3">
      <w:pPr>
        <w:spacing w:beforeLines="100" w:before="312"/>
        <w:ind w:firstLineChars="200" w:firstLine="420"/>
        <w:rPr>
          <w:rFonts w:ascii="宋体" w:eastAsia="宋体" w:hAnsi="宋体"/>
        </w:rPr>
      </w:pPr>
      <w:r>
        <w:rPr>
          <w:rFonts w:ascii="宋体" w:eastAsia="宋体" w:hAnsi="宋体" w:hint="eastAsia"/>
        </w:rPr>
        <w:t>我们</w:t>
      </w:r>
      <w:r w:rsidR="00347858" w:rsidRPr="00347858">
        <w:rPr>
          <w:rFonts w:ascii="宋体" w:eastAsia="宋体" w:hAnsi="宋体" w:hint="eastAsia"/>
        </w:rPr>
        <w:t>制定《中国银河证券基金研究中心公募基金产品适当性风险等级划分方法与说明》在网站专区（</w:t>
      </w:r>
      <w:r w:rsidR="00347858" w:rsidRPr="00347858">
        <w:rPr>
          <w:rFonts w:ascii="宋体" w:eastAsia="宋体" w:hAnsi="宋体"/>
        </w:rPr>
        <w:t>www.yhzqjj.com）披露，根据相关法律法规、监管部门及行业协会意见持续修订、补充、完善。</w:t>
      </w:r>
    </w:p>
    <w:p w:rsidR="00576E9E" w:rsidRPr="00576E9E" w:rsidRDefault="00576E9E" w:rsidP="00E543BB">
      <w:pPr>
        <w:widowControl/>
        <w:ind w:right="210"/>
        <w:jc w:val="right"/>
        <w:rPr>
          <w:rFonts w:ascii="宋体" w:eastAsia="宋体" w:hAnsi="宋体"/>
          <w:bCs/>
        </w:rPr>
      </w:pPr>
    </w:p>
    <w:sectPr w:rsidR="00576E9E" w:rsidRPr="00576E9E" w:rsidSect="008C22BC">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9EE" w:rsidRDefault="00F619EE" w:rsidP="00E569BA">
      <w:r>
        <w:separator/>
      </w:r>
    </w:p>
  </w:endnote>
  <w:endnote w:type="continuationSeparator" w:id="0">
    <w:p w:rsidR="00F619EE" w:rsidRDefault="00F619EE" w:rsidP="00E5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擞.泍..">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9EE" w:rsidRDefault="00F619EE" w:rsidP="00E569BA">
      <w:r>
        <w:separator/>
      </w:r>
    </w:p>
  </w:footnote>
  <w:footnote w:type="continuationSeparator" w:id="0">
    <w:p w:rsidR="00F619EE" w:rsidRDefault="00F619EE" w:rsidP="00E5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A318F"/>
    <w:multiLevelType w:val="hybridMultilevel"/>
    <w:tmpl w:val="228E0112"/>
    <w:lvl w:ilvl="0" w:tplc="D5469C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FA774B9"/>
    <w:multiLevelType w:val="hybridMultilevel"/>
    <w:tmpl w:val="4E601384"/>
    <w:lvl w:ilvl="0" w:tplc="9D22A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090F88"/>
    <w:multiLevelType w:val="hybridMultilevel"/>
    <w:tmpl w:val="87EA9E1A"/>
    <w:lvl w:ilvl="0" w:tplc="7B4ECEC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B8"/>
    <w:rsid w:val="0002697C"/>
    <w:rsid w:val="000425F8"/>
    <w:rsid w:val="00055F54"/>
    <w:rsid w:val="000916B6"/>
    <w:rsid w:val="000A6FB8"/>
    <w:rsid w:val="001158A3"/>
    <w:rsid w:val="00191283"/>
    <w:rsid w:val="001D6D1D"/>
    <w:rsid w:val="0022168E"/>
    <w:rsid w:val="00230758"/>
    <w:rsid w:val="00270C0B"/>
    <w:rsid w:val="00274068"/>
    <w:rsid w:val="002D6307"/>
    <w:rsid w:val="002F5C7C"/>
    <w:rsid w:val="00326A07"/>
    <w:rsid w:val="00347858"/>
    <w:rsid w:val="0035523B"/>
    <w:rsid w:val="003772F3"/>
    <w:rsid w:val="00381B77"/>
    <w:rsid w:val="003D07AD"/>
    <w:rsid w:val="004A06B2"/>
    <w:rsid w:val="004D194A"/>
    <w:rsid w:val="005016A7"/>
    <w:rsid w:val="0052266F"/>
    <w:rsid w:val="00525C7A"/>
    <w:rsid w:val="00527058"/>
    <w:rsid w:val="00563F83"/>
    <w:rsid w:val="00576E9E"/>
    <w:rsid w:val="005B639F"/>
    <w:rsid w:val="005E63EE"/>
    <w:rsid w:val="00611DEE"/>
    <w:rsid w:val="00666055"/>
    <w:rsid w:val="006766C3"/>
    <w:rsid w:val="00677EAB"/>
    <w:rsid w:val="006D64F9"/>
    <w:rsid w:val="00715AD8"/>
    <w:rsid w:val="00765C0A"/>
    <w:rsid w:val="007D2492"/>
    <w:rsid w:val="007E28FF"/>
    <w:rsid w:val="00844184"/>
    <w:rsid w:val="00847502"/>
    <w:rsid w:val="00854873"/>
    <w:rsid w:val="00870F21"/>
    <w:rsid w:val="008C22BC"/>
    <w:rsid w:val="00994948"/>
    <w:rsid w:val="009D42FB"/>
    <w:rsid w:val="009F6824"/>
    <w:rsid w:val="00A024F9"/>
    <w:rsid w:val="00A04559"/>
    <w:rsid w:val="00A44E05"/>
    <w:rsid w:val="00A565ED"/>
    <w:rsid w:val="00A67C32"/>
    <w:rsid w:val="00AA646E"/>
    <w:rsid w:val="00AC3FD0"/>
    <w:rsid w:val="00AC752E"/>
    <w:rsid w:val="00AD470B"/>
    <w:rsid w:val="00B32DB4"/>
    <w:rsid w:val="00B66911"/>
    <w:rsid w:val="00C55E8F"/>
    <w:rsid w:val="00C74BB1"/>
    <w:rsid w:val="00CC52C4"/>
    <w:rsid w:val="00CF0F20"/>
    <w:rsid w:val="00D158F5"/>
    <w:rsid w:val="00D250B4"/>
    <w:rsid w:val="00DD1B33"/>
    <w:rsid w:val="00E25476"/>
    <w:rsid w:val="00E452E2"/>
    <w:rsid w:val="00E543BB"/>
    <w:rsid w:val="00E569BA"/>
    <w:rsid w:val="00E74580"/>
    <w:rsid w:val="00E826CD"/>
    <w:rsid w:val="00EF7AC4"/>
    <w:rsid w:val="00F203BD"/>
    <w:rsid w:val="00F20CB9"/>
    <w:rsid w:val="00F3068C"/>
    <w:rsid w:val="00F35051"/>
    <w:rsid w:val="00F5042B"/>
    <w:rsid w:val="00F619EE"/>
    <w:rsid w:val="00F90C4B"/>
    <w:rsid w:val="00FD4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F9A83"/>
  <w15:chartTrackingRefBased/>
  <w15:docId w15:val="{9346F172-D88D-433B-8CA6-E28C6D44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FB8"/>
    <w:pPr>
      <w:ind w:leftChars="2500" w:left="100"/>
    </w:pPr>
  </w:style>
  <w:style w:type="character" w:customStyle="1" w:styleId="a4">
    <w:name w:val="日期 字符"/>
    <w:basedOn w:val="a0"/>
    <w:link w:val="a3"/>
    <w:uiPriority w:val="99"/>
    <w:semiHidden/>
    <w:rsid w:val="000A6FB8"/>
  </w:style>
  <w:style w:type="paragraph" w:styleId="a5">
    <w:name w:val="List Paragraph"/>
    <w:basedOn w:val="a"/>
    <w:uiPriority w:val="34"/>
    <w:qFormat/>
    <w:rsid w:val="000A6FB8"/>
    <w:pPr>
      <w:ind w:firstLineChars="200" w:firstLine="420"/>
    </w:pPr>
  </w:style>
  <w:style w:type="paragraph" w:styleId="a6">
    <w:name w:val="header"/>
    <w:basedOn w:val="a"/>
    <w:link w:val="a7"/>
    <w:uiPriority w:val="99"/>
    <w:unhideWhenUsed/>
    <w:rsid w:val="000A6FB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A6FB8"/>
    <w:rPr>
      <w:sz w:val="18"/>
      <w:szCs w:val="18"/>
    </w:rPr>
  </w:style>
  <w:style w:type="paragraph" w:styleId="a8">
    <w:name w:val="footer"/>
    <w:basedOn w:val="a"/>
    <w:link w:val="a9"/>
    <w:uiPriority w:val="99"/>
    <w:unhideWhenUsed/>
    <w:rsid w:val="000A6FB8"/>
    <w:pPr>
      <w:tabs>
        <w:tab w:val="center" w:pos="4153"/>
        <w:tab w:val="right" w:pos="8306"/>
      </w:tabs>
      <w:snapToGrid w:val="0"/>
      <w:jc w:val="left"/>
    </w:pPr>
    <w:rPr>
      <w:sz w:val="18"/>
      <w:szCs w:val="18"/>
    </w:rPr>
  </w:style>
  <w:style w:type="character" w:customStyle="1" w:styleId="a9">
    <w:name w:val="页脚 字符"/>
    <w:basedOn w:val="a0"/>
    <w:link w:val="a8"/>
    <w:uiPriority w:val="99"/>
    <w:rsid w:val="000A6FB8"/>
    <w:rPr>
      <w:sz w:val="18"/>
      <w:szCs w:val="18"/>
    </w:rPr>
  </w:style>
  <w:style w:type="paragraph" w:styleId="aa">
    <w:name w:val="Balloon Text"/>
    <w:basedOn w:val="a"/>
    <w:link w:val="ab"/>
    <w:uiPriority w:val="99"/>
    <w:semiHidden/>
    <w:unhideWhenUsed/>
    <w:rsid w:val="000A6FB8"/>
    <w:rPr>
      <w:sz w:val="18"/>
      <w:szCs w:val="18"/>
    </w:rPr>
  </w:style>
  <w:style w:type="character" w:customStyle="1" w:styleId="ab">
    <w:name w:val="批注框文本 字符"/>
    <w:basedOn w:val="a0"/>
    <w:link w:val="aa"/>
    <w:uiPriority w:val="99"/>
    <w:semiHidden/>
    <w:rsid w:val="000A6FB8"/>
    <w:rPr>
      <w:sz w:val="18"/>
      <w:szCs w:val="18"/>
    </w:rPr>
  </w:style>
  <w:style w:type="paragraph" w:customStyle="1" w:styleId="Default">
    <w:name w:val="Default"/>
    <w:rsid w:val="000A6FB8"/>
    <w:pPr>
      <w:widowControl w:val="0"/>
      <w:autoSpaceDE w:val="0"/>
      <w:autoSpaceDN w:val="0"/>
      <w:adjustRightInd w:val="0"/>
    </w:pPr>
    <w:rPr>
      <w:rFonts w:ascii="宋体.擞.泍.." w:eastAsia="宋体.擞.泍.." w:hAnsi="Times New Roman" w:cs="宋体.擞.泍.."/>
      <w:color w:val="000000"/>
      <w:kern w:val="0"/>
      <w:sz w:val="24"/>
      <w:szCs w:val="24"/>
    </w:rPr>
  </w:style>
  <w:style w:type="character" w:styleId="ac">
    <w:name w:val="Hyperlink"/>
    <w:basedOn w:val="a0"/>
    <w:uiPriority w:val="99"/>
    <w:semiHidden/>
    <w:unhideWhenUsed/>
    <w:rsid w:val="000A6FB8"/>
    <w:rPr>
      <w:color w:val="0000FF"/>
      <w:u w:val="single"/>
    </w:rPr>
  </w:style>
  <w:style w:type="character" w:styleId="ad">
    <w:name w:val="FollowedHyperlink"/>
    <w:basedOn w:val="a0"/>
    <w:uiPriority w:val="99"/>
    <w:semiHidden/>
    <w:unhideWhenUsed/>
    <w:rsid w:val="000A6FB8"/>
    <w:rPr>
      <w:color w:val="800080"/>
      <w:u w:val="single"/>
    </w:rPr>
  </w:style>
  <w:style w:type="paragraph" w:customStyle="1" w:styleId="xl63">
    <w:name w:val="xl63"/>
    <w:basedOn w:val="a"/>
    <w:rsid w:val="000A6FB8"/>
    <w:pPr>
      <w:widowControl/>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4">
    <w:name w:val="xl64"/>
    <w:basedOn w:val="a"/>
    <w:rsid w:val="000A6FB8"/>
    <w:pPr>
      <w:widowControl/>
      <w:pBdr>
        <w:top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5">
    <w:name w:val="xl65"/>
    <w:basedOn w:val="a"/>
    <w:rsid w:val="000A6FB8"/>
    <w:pPr>
      <w:widowControl/>
      <w:pBdr>
        <w:top w:val="single" w:sz="4" w:space="0" w:color="000000"/>
        <w:left w:val="single" w:sz="4" w:space="0" w:color="000000"/>
        <w:bottom w:val="single" w:sz="4" w:space="0" w:color="000000"/>
      </w:pBdr>
      <w:shd w:val="clear" w:color="000000" w:fill="CCFFFF"/>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xl66">
    <w:name w:val="xl66"/>
    <w:basedOn w:val="a"/>
    <w:rsid w:val="000A6FB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7">
    <w:name w:val="xl67"/>
    <w:basedOn w:val="a"/>
    <w:rsid w:val="000A6FB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8">
    <w:name w:val="xl68"/>
    <w:basedOn w:val="a"/>
    <w:rsid w:val="000A6FB8"/>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9">
    <w:name w:val="xl69"/>
    <w:basedOn w:val="a"/>
    <w:rsid w:val="000A6FB8"/>
    <w:pPr>
      <w:widowControl/>
      <w:spacing w:before="100" w:beforeAutospacing="1" w:after="100" w:afterAutospacing="1"/>
      <w:jc w:val="center"/>
      <w:textAlignment w:val="center"/>
    </w:pPr>
    <w:rPr>
      <w:rFonts w:ascii="宋体" w:eastAsia="宋体" w:hAnsi="宋体" w:cs="宋体"/>
      <w:b/>
      <w:bCs/>
      <w:color w:val="000000"/>
      <w:kern w:val="0"/>
      <w:sz w:val="32"/>
      <w:szCs w:val="32"/>
    </w:rPr>
  </w:style>
  <w:style w:type="paragraph" w:customStyle="1" w:styleId="xl70">
    <w:name w:val="xl70"/>
    <w:basedOn w:val="a"/>
    <w:rsid w:val="000A6FB8"/>
    <w:pPr>
      <w:widowControl/>
      <w:pBdr>
        <w:bottom w:val="single" w:sz="4" w:space="0" w:color="000000"/>
      </w:pBdr>
      <w:spacing w:before="100" w:beforeAutospacing="1" w:after="100" w:afterAutospacing="1"/>
      <w:jc w:val="left"/>
      <w:textAlignment w:val="center"/>
    </w:pPr>
    <w:rPr>
      <w:rFonts w:ascii="宋体" w:eastAsia="宋体" w:hAnsi="宋体" w:cs="宋体"/>
      <w:color w:val="000000"/>
      <w:kern w:val="0"/>
      <w:sz w:val="18"/>
      <w:szCs w:val="18"/>
    </w:rPr>
  </w:style>
  <w:style w:type="table" w:styleId="ae">
    <w:name w:val="Table Grid"/>
    <w:basedOn w:val="a1"/>
    <w:uiPriority w:val="39"/>
    <w:rsid w:val="000A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D6D1D"/>
  </w:style>
  <w:style w:type="character" w:styleId="af0">
    <w:name w:val="annotation reference"/>
    <w:basedOn w:val="a0"/>
    <w:uiPriority w:val="99"/>
    <w:semiHidden/>
    <w:unhideWhenUsed/>
    <w:rsid w:val="001D6D1D"/>
    <w:rPr>
      <w:sz w:val="21"/>
      <w:szCs w:val="21"/>
    </w:rPr>
  </w:style>
  <w:style w:type="paragraph" w:styleId="af1">
    <w:name w:val="annotation text"/>
    <w:basedOn w:val="a"/>
    <w:link w:val="af2"/>
    <w:uiPriority w:val="99"/>
    <w:semiHidden/>
    <w:unhideWhenUsed/>
    <w:rsid w:val="001D6D1D"/>
    <w:pPr>
      <w:jc w:val="left"/>
    </w:pPr>
  </w:style>
  <w:style w:type="character" w:customStyle="1" w:styleId="af2">
    <w:name w:val="批注文字 字符"/>
    <w:basedOn w:val="a0"/>
    <w:link w:val="af1"/>
    <w:uiPriority w:val="99"/>
    <w:semiHidden/>
    <w:rsid w:val="001D6D1D"/>
  </w:style>
  <w:style w:type="paragraph" w:styleId="af3">
    <w:name w:val="annotation subject"/>
    <w:basedOn w:val="af1"/>
    <w:next w:val="af1"/>
    <w:link w:val="af4"/>
    <w:uiPriority w:val="99"/>
    <w:semiHidden/>
    <w:unhideWhenUsed/>
    <w:rsid w:val="001D6D1D"/>
    <w:rPr>
      <w:b/>
      <w:bCs/>
    </w:rPr>
  </w:style>
  <w:style w:type="character" w:customStyle="1" w:styleId="af4">
    <w:name w:val="批注主题 字符"/>
    <w:basedOn w:val="af2"/>
    <w:link w:val="af3"/>
    <w:uiPriority w:val="99"/>
    <w:semiHidden/>
    <w:rsid w:val="001D6D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44828">
      <w:bodyDiv w:val="1"/>
      <w:marLeft w:val="0"/>
      <w:marRight w:val="0"/>
      <w:marTop w:val="0"/>
      <w:marBottom w:val="0"/>
      <w:divBdr>
        <w:top w:val="none" w:sz="0" w:space="0" w:color="auto"/>
        <w:left w:val="none" w:sz="0" w:space="0" w:color="auto"/>
        <w:bottom w:val="none" w:sz="0" w:space="0" w:color="auto"/>
        <w:right w:val="none" w:sz="0" w:space="0" w:color="auto"/>
      </w:divBdr>
    </w:div>
    <w:div w:id="682631747">
      <w:bodyDiv w:val="1"/>
      <w:marLeft w:val="0"/>
      <w:marRight w:val="0"/>
      <w:marTop w:val="0"/>
      <w:marBottom w:val="0"/>
      <w:divBdr>
        <w:top w:val="none" w:sz="0" w:space="0" w:color="auto"/>
        <w:left w:val="none" w:sz="0" w:space="0" w:color="auto"/>
        <w:bottom w:val="none" w:sz="0" w:space="0" w:color="auto"/>
        <w:right w:val="none" w:sz="0" w:space="0" w:color="auto"/>
      </w:divBdr>
    </w:div>
    <w:div w:id="21346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立峰</dc:creator>
  <cp:keywords/>
  <dc:description/>
  <cp:lastModifiedBy>吴婉娟</cp:lastModifiedBy>
  <cp:revision>67</cp:revision>
  <cp:lastPrinted>2021-11-22T08:16:00Z</cp:lastPrinted>
  <dcterms:created xsi:type="dcterms:W3CDTF">2021-02-25T11:43:00Z</dcterms:created>
  <dcterms:modified xsi:type="dcterms:W3CDTF">2021-12-31T05:56:00Z</dcterms:modified>
</cp:coreProperties>
</file>